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</w:rPr>
        <w:t>南京医科大学2019年度“研究生标兵”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</w:rPr>
        <w:t>“百佳研究生”</w:t>
      </w: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eastAsia="zh-CN"/>
        </w:rPr>
        <w:t>名额分配表</w:t>
      </w:r>
    </w:p>
    <w:tbl>
      <w:tblPr>
        <w:tblStyle w:val="2"/>
        <w:tblpPr w:leftFromText="180" w:rightFromText="180" w:vertAnchor="text" w:horzAnchor="page" w:tblpX="1403" w:tblpY="386"/>
        <w:tblOverlap w:val="never"/>
        <w:tblW w:w="90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2344"/>
        <w:gridCol w:w="27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研究生二级培养单位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研究生标兵推荐名额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百佳研究生名额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生殖医学国家重点实验室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医政学院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生物医学工程与信息学院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附属淮安第一医院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附属苏州医院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上海东方临床医学院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上海十院临床医学院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上海市第一人民医院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上海松江临床医学院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杭州市第一人民医院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</w:tr>
    </w:tbl>
    <w:p>
      <w:pP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12CA"/>
    <w:rsid w:val="14CA7D82"/>
    <w:rsid w:val="17D519A5"/>
    <w:rsid w:val="1CFF7D2F"/>
    <w:rsid w:val="629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2019-11-21T10:11:48Z</dcterms:created>
  <dc:creator>dell</dc:creator>
  <cp:lastModifiedBy>苏苏</cp:lastModifiedBy>
  <dcterms:modified xsi:type="dcterms:W3CDTF">2019-11-21T10:16:42Z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