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100" w:beforeAutospacing="1" w:after="100" w:afterAutospacing="1" w:line="315" w:lineRule="atLeast"/>
        <w:jc w:val="center"/>
        <w:rPr>
          <w:rFonts w:hint="eastAsia" w:ascii="宋体" w:hAnsi="宋体" w:eastAsia="宋体" w:cs="宋体"/>
          <w:b/>
          <w:color w:val="333333"/>
          <w:kern w:val="0"/>
          <w:sz w:val="28"/>
          <w:szCs w:val="28"/>
        </w:rPr>
      </w:pPr>
      <w:r>
        <w:rPr>
          <w:rFonts w:hint="eastAsia" w:ascii="宋体" w:hAnsi="宋体" w:eastAsia="宋体" w:cs="宋体"/>
          <w:b/>
          <w:color w:val="333333"/>
          <w:kern w:val="0"/>
          <w:sz w:val="28"/>
          <w:szCs w:val="28"/>
        </w:rPr>
        <w:t>201</w:t>
      </w:r>
      <w:r>
        <w:rPr>
          <w:rFonts w:hint="eastAsia" w:ascii="宋体" w:hAnsi="宋体" w:eastAsia="宋体" w:cs="宋体"/>
          <w:b/>
          <w:color w:val="333333"/>
          <w:kern w:val="0"/>
          <w:sz w:val="28"/>
          <w:szCs w:val="28"/>
          <w:lang w:val="en-US" w:eastAsia="zh-CN"/>
        </w:rPr>
        <w:t>9</w:t>
      </w:r>
      <w:r>
        <w:rPr>
          <w:rFonts w:hint="eastAsia" w:ascii="宋体" w:hAnsi="宋体" w:eastAsia="宋体" w:cs="宋体"/>
          <w:b/>
          <w:color w:val="333333"/>
          <w:kern w:val="0"/>
          <w:sz w:val="28"/>
          <w:szCs w:val="28"/>
        </w:rPr>
        <w:t>-20</w:t>
      </w:r>
      <w:r>
        <w:rPr>
          <w:rFonts w:hint="eastAsia" w:ascii="宋体" w:hAnsi="宋体" w:eastAsia="宋体" w:cs="宋体"/>
          <w:b/>
          <w:color w:val="333333"/>
          <w:kern w:val="0"/>
          <w:sz w:val="28"/>
          <w:szCs w:val="28"/>
          <w:lang w:val="en-US" w:eastAsia="zh-CN"/>
        </w:rPr>
        <w:t>20</w:t>
      </w:r>
      <w:r>
        <w:rPr>
          <w:rFonts w:hint="eastAsia" w:ascii="宋体" w:hAnsi="宋体" w:eastAsia="宋体" w:cs="宋体"/>
          <w:b/>
          <w:color w:val="333333"/>
          <w:kern w:val="0"/>
          <w:sz w:val="28"/>
          <w:szCs w:val="28"/>
        </w:rPr>
        <w:t>年研究生助管岗位设置及说明</w:t>
      </w:r>
    </w:p>
    <w:p>
      <w:pPr>
        <w:pStyle w:val="4"/>
        <w:shd w:val="clear" w:color="auto" w:fill="FFFFFF"/>
        <w:spacing w:line="315" w:lineRule="atLeast"/>
        <w:rPr>
          <w:rFonts w:hint="eastAsia" w:ascii="宋体" w:hAnsi="宋体"/>
          <w:color w:val="333333"/>
          <w:sz w:val="28"/>
          <w:szCs w:val="28"/>
        </w:rPr>
      </w:pPr>
      <w:r>
        <w:rPr>
          <w:rStyle w:val="7"/>
          <w:rFonts w:ascii="宋体" w:hAnsi="宋体"/>
          <w:color w:val="333333"/>
          <w:sz w:val="28"/>
          <w:szCs w:val="28"/>
        </w:rPr>
        <w:t> </w:t>
      </w:r>
      <w:r>
        <w:rPr>
          <w:rFonts w:ascii="宋体" w:hAnsi="宋体"/>
          <w:color w:val="333333"/>
          <w:sz w:val="28"/>
          <w:szCs w:val="28"/>
        </w:rPr>
        <w:t>一、学院研究生助管的设置与管理</w:t>
      </w:r>
    </w:p>
    <w:p>
      <w:pPr>
        <w:pStyle w:val="4"/>
        <w:shd w:val="clear" w:color="auto" w:fill="FFFFFF"/>
        <w:spacing w:line="315" w:lineRule="atLeast"/>
        <w:rPr>
          <w:rFonts w:hint="eastAsia" w:ascii="宋体" w:hAnsi="宋体"/>
          <w:color w:val="333333"/>
          <w:sz w:val="28"/>
          <w:szCs w:val="28"/>
        </w:rPr>
      </w:pPr>
      <w:r>
        <w:rPr>
          <w:rFonts w:ascii="宋体" w:hAnsi="宋体"/>
          <w:color w:val="333333"/>
          <w:sz w:val="28"/>
          <w:szCs w:val="28"/>
        </w:rPr>
        <w:t>  </w:t>
      </w:r>
      <w:r>
        <w:rPr>
          <w:rFonts w:hint="eastAsia" w:ascii="宋体" w:hAnsi="宋体"/>
          <w:color w:val="333333"/>
          <w:sz w:val="28"/>
          <w:szCs w:val="28"/>
        </w:rPr>
        <w:t xml:space="preserve"> </w:t>
      </w:r>
      <w:r>
        <w:rPr>
          <w:rFonts w:ascii="宋体" w:hAnsi="宋体"/>
          <w:color w:val="333333"/>
          <w:sz w:val="28"/>
          <w:szCs w:val="28"/>
        </w:rPr>
        <w:t>1.</w:t>
      </w:r>
      <w:r>
        <w:rPr>
          <w:rStyle w:val="7"/>
          <w:rFonts w:ascii="宋体" w:hAnsi="宋体"/>
          <w:color w:val="333333"/>
          <w:sz w:val="28"/>
          <w:szCs w:val="28"/>
        </w:rPr>
        <w:t> </w:t>
      </w:r>
      <w:r>
        <w:rPr>
          <w:rFonts w:ascii="宋体" w:hAnsi="宋体"/>
          <w:color w:val="333333"/>
          <w:sz w:val="28"/>
          <w:szCs w:val="28"/>
        </w:rPr>
        <w:t>从全校全日制博士或高年级硕士中遴选综合素质好的学生担任学院研究生助管。优先考虑家庭经济困难者。助管聘期原则上不低于1 年。如有学业等原因，可以进行中途调整。</w:t>
      </w:r>
    </w:p>
    <w:p>
      <w:pPr>
        <w:pStyle w:val="4"/>
        <w:shd w:val="clear" w:color="auto" w:fill="FFFFFF"/>
        <w:spacing w:line="315" w:lineRule="atLeast"/>
        <w:rPr>
          <w:rFonts w:hint="eastAsia" w:ascii="宋体" w:hAnsi="宋体"/>
          <w:color w:val="333333"/>
          <w:sz w:val="28"/>
          <w:szCs w:val="28"/>
        </w:rPr>
      </w:pPr>
      <w:r>
        <w:rPr>
          <w:rFonts w:ascii="宋体" w:hAnsi="宋体"/>
          <w:color w:val="333333"/>
          <w:sz w:val="28"/>
          <w:szCs w:val="28"/>
        </w:rPr>
        <w:t>   2.</w:t>
      </w:r>
      <w:r>
        <w:rPr>
          <w:rStyle w:val="7"/>
          <w:rFonts w:ascii="宋体" w:hAnsi="宋体"/>
          <w:color w:val="333333"/>
          <w:sz w:val="28"/>
          <w:szCs w:val="28"/>
        </w:rPr>
        <w:t> </w:t>
      </w:r>
      <w:r>
        <w:rPr>
          <w:rFonts w:ascii="宋体" w:hAnsi="宋体"/>
          <w:color w:val="333333"/>
          <w:sz w:val="28"/>
          <w:szCs w:val="28"/>
        </w:rPr>
        <w:t>原则上研究生200-400人配备1人，400-600人配备2人，600人以上最多不超过3人。100-200人的学院给予1/2的人员机动岗位。</w:t>
      </w:r>
      <w:r>
        <w:rPr>
          <w:rFonts w:hint="eastAsia" w:cs="Tahoma"/>
          <w:color w:val="000000"/>
          <w:sz w:val="30"/>
          <w:szCs w:val="30"/>
        </w:rPr>
        <w:t>研究生助管享受岗位津贴，标准</w:t>
      </w:r>
      <w:r>
        <w:rPr>
          <w:color w:val="000000"/>
          <w:sz w:val="30"/>
          <w:szCs w:val="30"/>
        </w:rPr>
        <w:t>500</w:t>
      </w:r>
      <w:r>
        <w:rPr>
          <w:rFonts w:hint="eastAsia" w:cs="Tahoma"/>
          <w:color w:val="000000"/>
          <w:sz w:val="30"/>
          <w:szCs w:val="30"/>
        </w:rPr>
        <w:t>元/月，</w:t>
      </w:r>
      <w:r>
        <w:rPr>
          <w:rFonts w:hint="eastAsia" w:ascii="宋体" w:hAnsi="宋体"/>
          <w:color w:val="333333"/>
          <w:sz w:val="28"/>
          <w:szCs w:val="28"/>
        </w:rPr>
        <w:t>对于1/2的人员机动岗位，每人250元/月</w:t>
      </w:r>
    </w:p>
    <w:p>
      <w:pPr>
        <w:pStyle w:val="4"/>
        <w:shd w:val="clear" w:color="auto" w:fill="FFFFFF"/>
        <w:spacing w:line="315" w:lineRule="atLeast"/>
        <w:rPr>
          <w:rFonts w:hint="eastAsia" w:ascii="宋体" w:hAnsi="宋体"/>
          <w:color w:val="333333"/>
          <w:sz w:val="28"/>
          <w:szCs w:val="28"/>
        </w:rPr>
      </w:pPr>
      <w:r>
        <w:rPr>
          <w:rFonts w:ascii="宋体" w:hAnsi="宋体"/>
          <w:color w:val="333333"/>
          <w:sz w:val="28"/>
          <w:szCs w:val="28"/>
        </w:rPr>
        <w:t>   3.</w:t>
      </w:r>
      <w:r>
        <w:rPr>
          <w:rStyle w:val="7"/>
          <w:rFonts w:ascii="宋体" w:hAnsi="宋体"/>
          <w:color w:val="333333"/>
          <w:sz w:val="28"/>
          <w:szCs w:val="28"/>
        </w:rPr>
        <w:t> </w:t>
      </w:r>
      <w:r>
        <w:rPr>
          <w:rFonts w:ascii="宋体" w:hAnsi="宋体"/>
          <w:color w:val="333333"/>
          <w:sz w:val="28"/>
          <w:szCs w:val="28"/>
        </w:rPr>
        <w:t>研究生院配合各学院做好助管人员的选拔工作，并对助管工作的开展进行督查。各学院党委（党总支）做好助管的日常管理和考核工作。</w:t>
      </w:r>
    </w:p>
    <w:p>
      <w:pPr>
        <w:pStyle w:val="4"/>
        <w:shd w:val="clear" w:color="auto" w:fill="FFFFFF"/>
        <w:spacing w:line="315" w:lineRule="atLeast"/>
        <w:rPr>
          <w:rFonts w:hint="eastAsia" w:ascii="宋体" w:hAnsi="宋体"/>
          <w:color w:val="333333"/>
          <w:sz w:val="28"/>
          <w:szCs w:val="28"/>
        </w:rPr>
      </w:pPr>
      <w:r>
        <w:rPr>
          <w:rFonts w:ascii="宋体" w:hAnsi="宋体"/>
          <w:color w:val="333333"/>
          <w:sz w:val="28"/>
          <w:szCs w:val="28"/>
        </w:rPr>
        <w:t> 二、学院研究生助管的工作内容</w:t>
      </w:r>
    </w:p>
    <w:p>
      <w:pPr>
        <w:pStyle w:val="4"/>
        <w:shd w:val="clear" w:color="auto" w:fill="FFFFFF"/>
        <w:spacing w:line="315" w:lineRule="atLeast"/>
        <w:rPr>
          <w:rFonts w:hint="eastAsia" w:ascii="宋体" w:hAnsi="宋体"/>
          <w:color w:val="333333"/>
          <w:sz w:val="28"/>
          <w:szCs w:val="28"/>
        </w:rPr>
      </w:pPr>
      <w:r>
        <w:rPr>
          <w:rFonts w:ascii="宋体" w:hAnsi="宋体"/>
          <w:color w:val="333333"/>
          <w:sz w:val="28"/>
          <w:szCs w:val="28"/>
        </w:rPr>
        <w:t>    1.</w:t>
      </w:r>
      <w:r>
        <w:rPr>
          <w:rStyle w:val="7"/>
          <w:rFonts w:ascii="宋体" w:hAnsi="宋体"/>
          <w:color w:val="333333"/>
          <w:sz w:val="28"/>
          <w:szCs w:val="28"/>
        </w:rPr>
        <w:t> </w:t>
      </w:r>
      <w:r>
        <w:rPr>
          <w:rFonts w:ascii="宋体" w:hAnsi="宋体"/>
          <w:color w:val="333333"/>
          <w:sz w:val="28"/>
          <w:szCs w:val="28"/>
        </w:rPr>
        <w:t>协助学院分管领导或部门开展研究生日常管理工作、思想政治教育工作、学生奖助管理工作等等，工作中注重“三贴近”（贴近实际、贴近生活、贴近学生）。可承担部分具体工作，包括负责具体专项工作或负责具体班级及年级管理等。</w:t>
      </w:r>
    </w:p>
    <w:p>
      <w:pPr>
        <w:pStyle w:val="4"/>
        <w:shd w:val="clear" w:color="auto" w:fill="FFFFFF"/>
        <w:spacing w:line="315" w:lineRule="atLeast"/>
        <w:rPr>
          <w:rFonts w:hint="eastAsia" w:ascii="宋体" w:hAnsi="宋体"/>
          <w:color w:val="333333"/>
          <w:sz w:val="28"/>
          <w:szCs w:val="28"/>
        </w:rPr>
      </w:pPr>
      <w:r>
        <w:rPr>
          <w:rFonts w:ascii="宋体" w:hAnsi="宋体"/>
          <w:color w:val="333333"/>
          <w:sz w:val="28"/>
          <w:szCs w:val="28"/>
        </w:rPr>
        <w:t>  </w:t>
      </w:r>
      <w:r>
        <w:rPr>
          <w:rFonts w:hint="eastAsia" w:ascii="宋体" w:hAnsi="宋体"/>
          <w:color w:val="333333"/>
          <w:sz w:val="28"/>
          <w:szCs w:val="28"/>
        </w:rPr>
        <w:t xml:space="preserve"> </w:t>
      </w:r>
      <w:r>
        <w:rPr>
          <w:rFonts w:ascii="宋体" w:hAnsi="宋体"/>
          <w:color w:val="333333"/>
          <w:sz w:val="28"/>
          <w:szCs w:val="28"/>
        </w:rPr>
        <w:t>2.助管的各类工作时间（含周末）每月原则上不少于60小时。每年工作10个月。</w:t>
      </w:r>
    </w:p>
    <w:p>
      <w:pPr>
        <w:widowControl/>
        <w:shd w:val="clear" w:color="auto" w:fill="FFFFFF"/>
        <w:spacing w:before="100" w:beforeAutospacing="1" w:after="100" w:afterAutospacing="1" w:line="315" w:lineRule="atLeast"/>
        <w:jc w:val="center"/>
        <w:rPr>
          <w:rFonts w:hint="eastAsia" w:ascii="宋体" w:hAnsi="宋体" w:eastAsia="宋体" w:cs="宋体"/>
          <w:b/>
          <w:color w:val="333333"/>
          <w:kern w:val="0"/>
          <w:sz w:val="28"/>
          <w:szCs w:val="28"/>
        </w:rPr>
      </w:pPr>
      <w:r>
        <w:rPr>
          <w:rFonts w:ascii="宋体" w:hAnsi="宋体" w:eastAsia="宋体" w:cs="宋体"/>
          <w:b/>
          <w:color w:val="333333"/>
          <w:kern w:val="0"/>
          <w:sz w:val="28"/>
          <w:szCs w:val="28"/>
        </w:rPr>
        <w:t>各学院研究生助管名额分配表</w:t>
      </w:r>
    </w:p>
    <w:tbl>
      <w:tblPr>
        <w:tblStyle w:val="5"/>
        <w:tblW w:w="5146" w:type="dxa"/>
        <w:jc w:val="center"/>
        <w:tblInd w:w="717"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2687"/>
        <w:gridCol w:w="245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632" w:hRule="atLeast"/>
          <w:jc w:val="center"/>
        </w:trPr>
        <w:tc>
          <w:tcPr>
            <w:tcW w:w="2687" w:type="dxa"/>
            <w:tcBorders>
              <w:top w:val="outset" w:color="auto" w:sz="6" w:space="0"/>
              <w:left w:val="outset" w:color="auto" w:sz="6" w:space="0"/>
              <w:bottom w:val="outset" w:color="auto" w:sz="6" w:space="0"/>
              <w:right w:val="outset" w:color="auto" w:sz="6" w:space="0"/>
            </w:tcBorders>
            <w:noWrap/>
            <w:vAlign w:val="center"/>
          </w:tcPr>
          <w:p>
            <w:pPr>
              <w:widowControl/>
              <w:spacing w:before="100" w:beforeAutospacing="1" w:after="100" w:afterAutospacing="1"/>
              <w:jc w:val="center"/>
              <w:rPr>
                <w:rFonts w:ascii="宋体" w:hAnsi="宋体" w:eastAsia="宋体" w:cs="宋体"/>
                <w:kern w:val="0"/>
                <w:sz w:val="28"/>
                <w:szCs w:val="28"/>
              </w:rPr>
            </w:pPr>
            <w:r>
              <w:rPr>
                <w:rFonts w:ascii="宋体" w:hAnsi="宋体" w:eastAsia="宋体" w:cs="宋体"/>
                <w:kern w:val="0"/>
                <w:sz w:val="28"/>
                <w:szCs w:val="28"/>
              </w:rPr>
              <w:t>学院</w:t>
            </w:r>
          </w:p>
        </w:tc>
        <w:tc>
          <w:tcPr>
            <w:tcW w:w="2459"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ascii="宋体" w:hAnsi="宋体" w:eastAsia="宋体" w:cs="宋体"/>
                <w:kern w:val="0"/>
                <w:sz w:val="28"/>
                <w:szCs w:val="28"/>
              </w:rPr>
            </w:pPr>
            <w:r>
              <w:rPr>
                <w:rFonts w:ascii="宋体" w:hAnsi="宋体" w:eastAsia="宋体" w:cs="宋体"/>
                <w:kern w:val="0"/>
                <w:sz w:val="28"/>
                <w:szCs w:val="28"/>
              </w:rPr>
              <w:t>名额</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632" w:hRule="atLeast"/>
          <w:jc w:val="center"/>
        </w:trPr>
        <w:tc>
          <w:tcPr>
            <w:tcW w:w="2687"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ascii="宋体" w:hAnsi="宋体" w:eastAsia="宋体" w:cs="宋体"/>
                <w:kern w:val="0"/>
                <w:sz w:val="28"/>
                <w:szCs w:val="28"/>
              </w:rPr>
            </w:pPr>
            <w:r>
              <w:rPr>
                <w:rFonts w:ascii="宋体" w:hAnsi="宋体" w:eastAsia="宋体" w:cs="宋体"/>
                <w:kern w:val="0"/>
                <w:sz w:val="28"/>
                <w:szCs w:val="28"/>
              </w:rPr>
              <w:t>基础医学院</w:t>
            </w:r>
          </w:p>
        </w:tc>
        <w:tc>
          <w:tcPr>
            <w:tcW w:w="2459" w:type="dxa"/>
            <w:tcBorders>
              <w:top w:val="outset" w:color="auto" w:sz="6" w:space="0"/>
              <w:left w:val="outset" w:color="auto" w:sz="6" w:space="0"/>
              <w:bottom w:val="outset" w:color="auto" w:sz="6" w:space="0"/>
              <w:right w:val="outset" w:color="auto" w:sz="6" w:space="0"/>
            </w:tcBorders>
            <w:noWrap/>
            <w:vAlign w:val="center"/>
          </w:tcPr>
          <w:p>
            <w:pPr>
              <w:widowControl/>
              <w:spacing w:before="100" w:beforeAutospacing="1" w:after="100" w:afterAutospacing="1"/>
              <w:jc w:val="center"/>
              <w:rPr>
                <w:rFonts w:ascii="宋体" w:hAnsi="宋体" w:eastAsia="宋体" w:cs="宋体"/>
                <w:kern w:val="0"/>
                <w:sz w:val="28"/>
                <w:szCs w:val="28"/>
              </w:rPr>
            </w:pPr>
            <w:r>
              <w:rPr>
                <w:rFonts w:ascii="宋体" w:hAnsi="宋体" w:eastAsia="宋体" w:cs="宋体"/>
                <w:kern w:val="0"/>
                <w:sz w:val="28"/>
                <w:szCs w:val="28"/>
              </w:rPr>
              <w:t>2</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632" w:hRule="atLeast"/>
          <w:jc w:val="center"/>
        </w:trPr>
        <w:tc>
          <w:tcPr>
            <w:tcW w:w="2687"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ascii="宋体" w:hAnsi="宋体" w:eastAsia="宋体" w:cs="宋体"/>
                <w:kern w:val="0"/>
                <w:sz w:val="28"/>
                <w:szCs w:val="28"/>
              </w:rPr>
            </w:pPr>
            <w:r>
              <w:rPr>
                <w:rFonts w:ascii="宋体" w:hAnsi="宋体" w:eastAsia="宋体" w:cs="宋体"/>
                <w:kern w:val="0"/>
                <w:sz w:val="28"/>
                <w:szCs w:val="28"/>
              </w:rPr>
              <w:t>公共卫生学院</w:t>
            </w:r>
          </w:p>
        </w:tc>
        <w:tc>
          <w:tcPr>
            <w:tcW w:w="2459" w:type="dxa"/>
            <w:tcBorders>
              <w:top w:val="outset" w:color="auto" w:sz="6" w:space="0"/>
              <w:left w:val="outset" w:color="auto" w:sz="6" w:space="0"/>
              <w:bottom w:val="outset" w:color="auto" w:sz="6" w:space="0"/>
              <w:right w:val="outset" w:color="auto" w:sz="6" w:space="0"/>
            </w:tcBorders>
            <w:noWrap/>
            <w:vAlign w:val="center"/>
          </w:tcPr>
          <w:p>
            <w:pPr>
              <w:widowControl/>
              <w:spacing w:before="100" w:beforeAutospacing="1" w:after="100" w:afterAutospacing="1"/>
              <w:jc w:val="center"/>
              <w:rPr>
                <w:rFonts w:ascii="宋体" w:hAnsi="宋体" w:eastAsia="宋体" w:cs="宋体"/>
                <w:kern w:val="0"/>
                <w:sz w:val="28"/>
                <w:szCs w:val="28"/>
              </w:rPr>
            </w:pPr>
            <w:r>
              <w:rPr>
                <w:rFonts w:ascii="宋体" w:hAnsi="宋体" w:eastAsia="宋体" w:cs="宋体"/>
                <w:kern w:val="0"/>
                <w:sz w:val="28"/>
                <w:szCs w:val="28"/>
              </w:rPr>
              <w:t>1</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632" w:hRule="atLeast"/>
          <w:jc w:val="center"/>
        </w:trPr>
        <w:tc>
          <w:tcPr>
            <w:tcW w:w="2687"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ascii="宋体" w:hAnsi="宋体" w:eastAsia="宋体" w:cs="宋体"/>
                <w:kern w:val="0"/>
                <w:sz w:val="28"/>
                <w:szCs w:val="28"/>
              </w:rPr>
            </w:pPr>
            <w:r>
              <w:rPr>
                <w:rFonts w:ascii="宋体" w:hAnsi="宋体" w:eastAsia="宋体" w:cs="宋体"/>
                <w:kern w:val="0"/>
                <w:sz w:val="28"/>
                <w:szCs w:val="28"/>
              </w:rPr>
              <w:t>第一临床医学院</w:t>
            </w:r>
          </w:p>
        </w:tc>
        <w:tc>
          <w:tcPr>
            <w:tcW w:w="2459" w:type="dxa"/>
            <w:tcBorders>
              <w:top w:val="outset" w:color="auto" w:sz="6" w:space="0"/>
              <w:left w:val="outset" w:color="auto" w:sz="6" w:space="0"/>
              <w:bottom w:val="outset" w:color="auto" w:sz="6" w:space="0"/>
              <w:right w:val="outset" w:color="auto" w:sz="6" w:space="0"/>
            </w:tcBorders>
            <w:noWrap/>
            <w:vAlign w:val="center"/>
          </w:tcPr>
          <w:p>
            <w:pPr>
              <w:widowControl/>
              <w:spacing w:before="100" w:beforeAutospacing="1" w:after="100" w:afterAutospacing="1"/>
              <w:jc w:val="center"/>
              <w:rPr>
                <w:rFonts w:hint="default" w:ascii="宋体" w:hAnsi="宋体" w:eastAsia="宋体" w:cs="宋体"/>
                <w:kern w:val="0"/>
                <w:sz w:val="28"/>
                <w:szCs w:val="28"/>
                <w:lang w:val="en-US" w:eastAsia="zh-CN"/>
              </w:rPr>
            </w:pPr>
            <w:r>
              <w:rPr>
                <w:rFonts w:ascii="宋体" w:hAnsi="宋体" w:eastAsia="宋体" w:cs="宋体"/>
                <w:kern w:val="0"/>
                <w:sz w:val="28"/>
                <w:szCs w:val="28"/>
              </w:rPr>
              <w:t>3</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632" w:hRule="atLeast"/>
          <w:jc w:val="center"/>
        </w:trPr>
        <w:tc>
          <w:tcPr>
            <w:tcW w:w="2687"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ascii="宋体" w:hAnsi="宋体" w:eastAsia="宋体" w:cs="宋体"/>
                <w:kern w:val="0"/>
                <w:sz w:val="28"/>
                <w:szCs w:val="28"/>
              </w:rPr>
            </w:pPr>
            <w:r>
              <w:rPr>
                <w:rFonts w:ascii="宋体" w:hAnsi="宋体" w:eastAsia="宋体" w:cs="宋体"/>
                <w:kern w:val="0"/>
                <w:sz w:val="28"/>
                <w:szCs w:val="28"/>
              </w:rPr>
              <w:t>第二临床医学院</w:t>
            </w:r>
          </w:p>
        </w:tc>
        <w:tc>
          <w:tcPr>
            <w:tcW w:w="2459" w:type="dxa"/>
            <w:tcBorders>
              <w:top w:val="outset" w:color="auto" w:sz="6" w:space="0"/>
              <w:left w:val="outset" w:color="auto" w:sz="6" w:space="0"/>
              <w:bottom w:val="outset" w:color="auto" w:sz="6" w:space="0"/>
              <w:right w:val="outset" w:color="auto" w:sz="6" w:space="0"/>
            </w:tcBorders>
            <w:noWrap/>
            <w:vAlign w:val="center"/>
          </w:tcPr>
          <w:p>
            <w:pPr>
              <w:widowControl/>
              <w:spacing w:before="100" w:beforeAutospacing="1" w:after="100" w:afterAutospacing="1"/>
              <w:jc w:val="center"/>
              <w:rPr>
                <w:rFonts w:ascii="宋体" w:hAnsi="宋体" w:eastAsia="宋体" w:cs="宋体"/>
                <w:kern w:val="0"/>
                <w:sz w:val="28"/>
                <w:szCs w:val="28"/>
              </w:rPr>
            </w:pPr>
            <w:r>
              <w:rPr>
                <w:rFonts w:hint="eastAsia" w:ascii="宋体" w:hAnsi="宋体" w:eastAsia="宋体" w:cs="宋体"/>
                <w:kern w:val="0"/>
                <w:sz w:val="28"/>
                <w:szCs w:val="28"/>
              </w:rPr>
              <w:t>1</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632" w:hRule="atLeast"/>
          <w:jc w:val="center"/>
        </w:trPr>
        <w:tc>
          <w:tcPr>
            <w:tcW w:w="2687"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ascii="宋体" w:hAnsi="宋体" w:eastAsia="宋体" w:cs="宋体"/>
                <w:kern w:val="0"/>
                <w:sz w:val="28"/>
                <w:szCs w:val="28"/>
              </w:rPr>
            </w:pPr>
            <w:r>
              <w:rPr>
                <w:rFonts w:ascii="宋体" w:hAnsi="宋体" w:eastAsia="宋体" w:cs="宋体"/>
                <w:kern w:val="0"/>
                <w:sz w:val="28"/>
                <w:szCs w:val="28"/>
              </w:rPr>
              <w:t>第四临床医学院</w:t>
            </w:r>
          </w:p>
        </w:tc>
        <w:tc>
          <w:tcPr>
            <w:tcW w:w="2459"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ascii="宋体" w:hAnsi="宋体" w:eastAsia="宋体" w:cs="宋体"/>
                <w:kern w:val="0"/>
                <w:sz w:val="28"/>
                <w:szCs w:val="28"/>
              </w:rPr>
            </w:pPr>
            <w:r>
              <w:rPr>
                <w:rFonts w:ascii="宋体" w:hAnsi="宋体" w:eastAsia="宋体" w:cs="宋体"/>
                <w:kern w:val="0"/>
                <w:sz w:val="28"/>
                <w:szCs w:val="28"/>
              </w:rPr>
              <w:t>1</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632" w:hRule="atLeast"/>
          <w:jc w:val="center"/>
        </w:trPr>
        <w:tc>
          <w:tcPr>
            <w:tcW w:w="2687"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ascii="宋体" w:hAnsi="宋体" w:eastAsia="宋体" w:cs="宋体"/>
                <w:kern w:val="0"/>
                <w:sz w:val="28"/>
                <w:szCs w:val="28"/>
              </w:rPr>
            </w:pPr>
            <w:r>
              <w:rPr>
                <w:rFonts w:ascii="宋体" w:hAnsi="宋体" w:eastAsia="宋体" w:cs="宋体"/>
                <w:kern w:val="0"/>
                <w:sz w:val="28"/>
                <w:szCs w:val="28"/>
              </w:rPr>
              <w:t>口腔医学院</w:t>
            </w:r>
          </w:p>
        </w:tc>
        <w:tc>
          <w:tcPr>
            <w:tcW w:w="2459"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ascii="宋体" w:hAnsi="宋体" w:eastAsia="宋体" w:cs="宋体"/>
                <w:kern w:val="0"/>
                <w:sz w:val="28"/>
                <w:szCs w:val="28"/>
              </w:rPr>
            </w:pPr>
            <w:r>
              <w:rPr>
                <w:rFonts w:hint="eastAsia" w:ascii="宋体" w:hAnsi="宋体" w:eastAsia="宋体" w:cs="宋体"/>
                <w:kern w:val="0"/>
                <w:sz w:val="28"/>
                <w:szCs w:val="28"/>
              </w:rPr>
              <w:t>1</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632" w:hRule="atLeast"/>
          <w:jc w:val="center"/>
        </w:trPr>
        <w:tc>
          <w:tcPr>
            <w:tcW w:w="2687"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ascii="宋体" w:hAnsi="宋体" w:eastAsia="宋体" w:cs="宋体"/>
                <w:kern w:val="0"/>
                <w:sz w:val="28"/>
                <w:szCs w:val="28"/>
              </w:rPr>
            </w:pPr>
            <w:r>
              <w:rPr>
                <w:rFonts w:ascii="宋体" w:hAnsi="宋体" w:eastAsia="宋体" w:cs="宋体"/>
                <w:kern w:val="0"/>
                <w:sz w:val="28"/>
                <w:szCs w:val="28"/>
              </w:rPr>
              <w:t>药学院</w:t>
            </w:r>
          </w:p>
        </w:tc>
        <w:tc>
          <w:tcPr>
            <w:tcW w:w="2459"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default"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0.5</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632" w:hRule="atLeast"/>
          <w:jc w:val="center"/>
        </w:trPr>
        <w:tc>
          <w:tcPr>
            <w:tcW w:w="2687"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ascii="宋体" w:hAnsi="宋体" w:eastAsia="宋体" w:cs="宋体"/>
                <w:kern w:val="0"/>
                <w:sz w:val="28"/>
                <w:szCs w:val="28"/>
              </w:rPr>
            </w:pPr>
            <w:r>
              <w:rPr>
                <w:rFonts w:ascii="宋体" w:hAnsi="宋体" w:eastAsia="宋体" w:cs="宋体"/>
                <w:kern w:val="0"/>
                <w:sz w:val="28"/>
                <w:szCs w:val="28"/>
              </w:rPr>
              <w:t>合计</w:t>
            </w:r>
          </w:p>
        </w:tc>
        <w:tc>
          <w:tcPr>
            <w:tcW w:w="2459" w:type="dxa"/>
            <w:tcBorders>
              <w:top w:val="outset" w:color="auto" w:sz="6" w:space="0"/>
              <w:left w:val="outset" w:color="auto" w:sz="6" w:space="0"/>
              <w:bottom w:val="outset" w:color="auto" w:sz="6" w:space="0"/>
              <w:right w:val="outset" w:color="auto" w:sz="6" w:space="0"/>
            </w:tcBorders>
            <w:noWrap/>
            <w:vAlign w:val="center"/>
          </w:tcPr>
          <w:p>
            <w:pPr>
              <w:widowControl/>
              <w:spacing w:before="100" w:beforeAutospacing="1" w:after="100" w:afterAutospacing="1"/>
              <w:jc w:val="center"/>
              <w:rPr>
                <w:rFonts w:hint="default"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9.5</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F7458"/>
    <w:rsid w:val="00013FCF"/>
    <w:rsid w:val="0001600E"/>
    <w:rsid w:val="00022B5F"/>
    <w:rsid w:val="0002461B"/>
    <w:rsid w:val="000358A3"/>
    <w:rsid w:val="000432C8"/>
    <w:rsid w:val="00056028"/>
    <w:rsid w:val="00064159"/>
    <w:rsid w:val="0008676A"/>
    <w:rsid w:val="00094BFD"/>
    <w:rsid w:val="000B5C7D"/>
    <w:rsid w:val="000C14A9"/>
    <w:rsid w:val="000F00CC"/>
    <w:rsid w:val="00130201"/>
    <w:rsid w:val="00140971"/>
    <w:rsid w:val="00147AAB"/>
    <w:rsid w:val="001535D7"/>
    <w:rsid w:val="001743CC"/>
    <w:rsid w:val="00174DF5"/>
    <w:rsid w:val="00177FE7"/>
    <w:rsid w:val="00194D40"/>
    <w:rsid w:val="001D10A6"/>
    <w:rsid w:val="001E4D6E"/>
    <w:rsid w:val="001E4E7D"/>
    <w:rsid w:val="001E65A9"/>
    <w:rsid w:val="001E7AE7"/>
    <w:rsid w:val="00204C6E"/>
    <w:rsid w:val="0021489B"/>
    <w:rsid w:val="00235DF3"/>
    <w:rsid w:val="0026046F"/>
    <w:rsid w:val="00263B3A"/>
    <w:rsid w:val="00277394"/>
    <w:rsid w:val="002937DF"/>
    <w:rsid w:val="0029497E"/>
    <w:rsid w:val="002B59B6"/>
    <w:rsid w:val="002C6B9A"/>
    <w:rsid w:val="002D41ED"/>
    <w:rsid w:val="002E725A"/>
    <w:rsid w:val="002F3951"/>
    <w:rsid w:val="002F705F"/>
    <w:rsid w:val="00305526"/>
    <w:rsid w:val="00317C60"/>
    <w:rsid w:val="00322AB2"/>
    <w:rsid w:val="00324FAF"/>
    <w:rsid w:val="003279BF"/>
    <w:rsid w:val="00332288"/>
    <w:rsid w:val="003459AE"/>
    <w:rsid w:val="003470FC"/>
    <w:rsid w:val="00375188"/>
    <w:rsid w:val="00384F9C"/>
    <w:rsid w:val="003850F0"/>
    <w:rsid w:val="003C1A35"/>
    <w:rsid w:val="003F415C"/>
    <w:rsid w:val="003F7988"/>
    <w:rsid w:val="00402E69"/>
    <w:rsid w:val="00410C92"/>
    <w:rsid w:val="00422E08"/>
    <w:rsid w:val="004347DB"/>
    <w:rsid w:val="004353C4"/>
    <w:rsid w:val="0044799F"/>
    <w:rsid w:val="0045463D"/>
    <w:rsid w:val="004562FD"/>
    <w:rsid w:val="00480E89"/>
    <w:rsid w:val="004863C4"/>
    <w:rsid w:val="00493273"/>
    <w:rsid w:val="0049781A"/>
    <w:rsid w:val="004A682B"/>
    <w:rsid w:val="004C03A6"/>
    <w:rsid w:val="004C75B7"/>
    <w:rsid w:val="004D26FE"/>
    <w:rsid w:val="004D5077"/>
    <w:rsid w:val="004E1CF9"/>
    <w:rsid w:val="004E477E"/>
    <w:rsid w:val="0050337C"/>
    <w:rsid w:val="00522B30"/>
    <w:rsid w:val="00553B4D"/>
    <w:rsid w:val="00555764"/>
    <w:rsid w:val="005861F0"/>
    <w:rsid w:val="005936BB"/>
    <w:rsid w:val="00593AB3"/>
    <w:rsid w:val="005950F3"/>
    <w:rsid w:val="005B2A2B"/>
    <w:rsid w:val="005D62A5"/>
    <w:rsid w:val="005D6C05"/>
    <w:rsid w:val="005D79A1"/>
    <w:rsid w:val="005F5DA0"/>
    <w:rsid w:val="00603F90"/>
    <w:rsid w:val="00607C7C"/>
    <w:rsid w:val="00645368"/>
    <w:rsid w:val="0065593A"/>
    <w:rsid w:val="006B6E57"/>
    <w:rsid w:val="006C2615"/>
    <w:rsid w:val="006E1A65"/>
    <w:rsid w:val="006E2C39"/>
    <w:rsid w:val="00700750"/>
    <w:rsid w:val="007132CF"/>
    <w:rsid w:val="00717C12"/>
    <w:rsid w:val="007321BE"/>
    <w:rsid w:val="007321C0"/>
    <w:rsid w:val="0073221B"/>
    <w:rsid w:val="00751C00"/>
    <w:rsid w:val="0076780F"/>
    <w:rsid w:val="00771112"/>
    <w:rsid w:val="00793A92"/>
    <w:rsid w:val="007C1ED4"/>
    <w:rsid w:val="007C35F9"/>
    <w:rsid w:val="007D5582"/>
    <w:rsid w:val="007F15CC"/>
    <w:rsid w:val="007F7B1F"/>
    <w:rsid w:val="00805A91"/>
    <w:rsid w:val="00811C34"/>
    <w:rsid w:val="0082531C"/>
    <w:rsid w:val="008310F2"/>
    <w:rsid w:val="00845DBE"/>
    <w:rsid w:val="00890A4B"/>
    <w:rsid w:val="0089334D"/>
    <w:rsid w:val="00893C37"/>
    <w:rsid w:val="008B6523"/>
    <w:rsid w:val="008C4CD8"/>
    <w:rsid w:val="008C4F9A"/>
    <w:rsid w:val="008D2265"/>
    <w:rsid w:val="008E42B9"/>
    <w:rsid w:val="008F6A88"/>
    <w:rsid w:val="009207DD"/>
    <w:rsid w:val="0092515D"/>
    <w:rsid w:val="009509FC"/>
    <w:rsid w:val="00951809"/>
    <w:rsid w:val="00960C9D"/>
    <w:rsid w:val="00963402"/>
    <w:rsid w:val="009E373A"/>
    <w:rsid w:val="009E39D7"/>
    <w:rsid w:val="009E3FAD"/>
    <w:rsid w:val="00A27A7A"/>
    <w:rsid w:val="00A4777A"/>
    <w:rsid w:val="00A606F4"/>
    <w:rsid w:val="00A830EA"/>
    <w:rsid w:val="00A937F9"/>
    <w:rsid w:val="00A9402F"/>
    <w:rsid w:val="00A94C49"/>
    <w:rsid w:val="00AA138E"/>
    <w:rsid w:val="00B26F92"/>
    <w:rsid w:val="00B370AF"/>
    <w:rsid w:val="00B712BD"/>
    <w:rsid w:val="00B96C1D"/>
    <w:rsid w:val="00BC2648"/>
    <w:rsid w:val="00BC50D6"/>
    <w:rsid w:val="00BD571F"/>
    <w:rsid w:val="00BE33B5"/>
    <w:rsid w:val="00C053D9"/>
    <w:rsid w:val="00C113C0"/>
    <w:rsid w:val="00C14B7D"/>
    <w:rsid w:val="00C23203"/>
    <w:rsid w:val="00C25CF2"/>
    <w:rsid w:val="00C264D3"/>
    <w:rsid w:val="00C4357C"/>
    <w:rsid w:val="00C60E09"/>
    <w:rsid w:val="00C75F54"/>
    <w:rsid w:val="00C90AE5"/>
    <w:rsid w:val="00CB14AF"/>
    <w:rsid w:val="00CC0AFC"/>
    <w:rsid w:val="00CD61E4"/>
    <w:rsid w:val="00CE3EBD"/>
    <w:rsid w:val="00CF730A"/>
    <w:rsid w:val="00D22B1B"/>
    <w:rsid w:val="00D374F1"/>
    <w:rsid w:val="00D37B07"/>
    <w:rsid w:val="00D54CF6"/>
    <w:rsid w:val="00D758D1"/>
    <w:rsid w:val="00D80579"/>
    <w:rsid w:val="00D86F13"/>
    <w:rsid w:val="00D929D1"/>
    <w:rsid w:val="00DA14CB"/>
    <w:rsid w:val="00DA3737"/>
    <w:rsid w:val="00DB4AB8"/>
    <w:rsid w:val="00DC492C"/>
    <w:rsid w:val="00DC687C"/>
    <w:rsid w:val="00DD1674"/>
    <w:rsid w:val="00DF68AD"/>
    <w:rsid w:val="00DF6C48"/>
    <w:rsid w:val="00E1726B"/>
    <w:rsid w:val="00E21E7C"/>
    <w:rsid w:val="00E456F2"/>
    <w:rsid w:val="00EA6DFE"/>
    <w:rsid w:val="00EB54A8"/>
    <w:rsid w:val="00EC4DD7"/>
    <w:rsid w:val="00ED4AE4"/>
    <w:rsid w:val="00EE26FC"/>
    <w:rsid w:val="00EF6C7E"/>
    <w:rsid w:val="00F161C8"/>
    <w:rsid w:val="00F256B4"/>
    <w:rsid w:val="00F26754"/>
    <w:rsid w:val="00F6126A"/>
    <w:rsid w:val="00F8356E"/>
    <w:rsid w:val="00F86D25"/>
    <w:rsid w:val="00F90704"/>
    <w:rsid w:val="00F92D34"/>
    <w:rsid w:val="00FA0D2C"/>
    <w:rsid w:val="00FA4BC4"/>
    <w:rsid w:val="00FF7458"/>
    <w:rsid w:val="00FF79BF"/>
    <w:rsid w:val="2964629F"/>
    <w:rsid w:val="331C3C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apple-converted-space"/>
    <w:basedOn w:val="6"/>
    <w:uiPriority w:val="0"/>
  </w:style>
  <w:style w:type="character" w:customStyle="1" w:styleId="8">
    <w:name w:val="页眉 Char"/>
    <w:basedOn w:val="6"/>
    <w:link w:val="3"/>
    <w:semiHidden/>
    <w:uiPriority w:val="99"/>
    <w:rPr>
      <w:sz w:val="18"/>
      <w:szCs w:val="18"/>
    </w:rPr>
  </w:style>
  <w:style w:type="character" w:customStyle="1" w:styleId="9">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90</Words>
  <Characters>516</Characters>
  <Lines>4</Lines>
  <Paragraphs>1</Paragraphs>
  <TotalTime>42</TotalTime>
  <ScaleCrop>false</ScaleCrop>
  <LinksUpToDate>false</LinksUpToDate>
  <CharactersWithSpaces>605</CharactersWithSpaces>
  <Application>WPS Office_11.1.0.9031_F1E327BC-269C-435d-A152-05C5408002CA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2016-09-19T01:17:00Z</dcterms:created>
  <dc:creator>zm</dc:creator>
  <cp:lastModifiedBy>苏苏</cp:lastModifiedBy>
  <dcterms:modified xsi:type="dcterms:W3CDTF">2019-09-26T08:00:36Z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2052-11.1.0.9031</vt:lpwstr>
  </property>
</Properties>
</file>