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B2" w:rsidRDefault="00B9007F">
      <w:pPr>
        <w:spacing w:line="50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石河子大学医学院</w:t>
      </w:r>
      <w:r>
        <w:rPr>
          <w:rFonts w:ascii="黑体" w:eastAsia="黑体" w:hAnsi="黑体" w:cs="黑体"/>
          <w:sz w:val="32"/>
          <w:szCs w:val="32"/>
        </w:rPr>
        <w:t>201</w:t>
      </w:r>
      <w:r>
        <w:rPr>
          <w:rFonts w:ascii="黑体" w:eastAsia="黑体" w:hAnsi="黑体" w:cs="黑体" w:hint="eastAsia"/>
          <w:sz w:val="32"/>
          <w:szCs w:val="32"/>
        </w:rPr>
        <w:t>9年招聘公告</w:t>
      </w:r>
    </w:p>
    <w:p w:rsidR="00277C4A" w:rsidRDefault="00277C4A">
      <w:pPr>
        <w:spacing w:line="500" w:lineRule="exact"/>
        <w:ind w:firstLineChars="200" w:firstLine="640"/>
        <w:jc w:val="center"/>
        <w:rPr>
          <w:rFonts w:ascii="黑体" w:eastAsia="黑体" w:hAnsi="黑体" w:cs="Times New Roman"/>
          <w:sz w:val="32"/>
          <w:szCs w:val="32"/>
        </w:rPr>
      </w:pPr>
    </w:p>
    <w:p w:rsidR="008B26B2" w:rsidRDefault="00B9007F">
      <w:pPr>
        <w:spacing w:line="500" w:lineRule="exact"/>
        <w:ind w:firstLineChars="200" w:firstLine="560"/>
        <w:rPr>
          <w:rFonts w:ascii="黑体" w:eastAsia="黑体" w:hAnsi="黑体" w:cs="Times New Roman"/>
          <w:sz w:val="28"/>
          <w:szCs w:val="28"/>
        </w:rPr>
      </w:pPr>
      <w:r>
        <w:rPr>
          <w:rFonts w:ascii="黑体" w:eastAsia="黑体" w:hAnsi="黑体" w:cs="黑体" w:hint="eastAsia"/>
          <w:sz w:val="28"/>
          <w:szCs w:val="28"/>
        </w:rPr>
        <w:t>一、单位简介</w:t>
      </w:r>
    </w:p>
    <w:p w:rsidR="008B26B2" w:rsidRDefault="00B9007F">
      <w:pPr>
        <w:spacing w:line="50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石河子大学是国家“211工程”重点建设高校、国家西部重点建设高校和省部共建高校，是“中西部高校基础能力建设工程”和“中西部高校综合实力提升工程”（一省一校）入选高校。2017年学校入选国家“双一流”建设一流学科建设高校，2018年入选 “部省合建”高校，纳入教育部直属高校排序。学校现有经济、法、教育、文、历史、理、工、农、</w:t>
      </w:r>
      <w:proofErr w:type="gramStart"/>
      <w:r>
        <w:rPr>
          <w:rFonts w:ascii="仿宋_GB2312" w:eastAsia="仿宋_GB2312" w:cs="仿宋_GB2312" w:hint="eastAsia"/>
          <w:sz w:val="28"/>
          <w:szCs w:val="28"/>
        </w:rPr>
        <w:t>医</w:t>
      </w:r>
      <w:proofErr w:type="gramEnd"/>
      <w:r>
        <w:rPr>
          <w:rFonts w:ascii="仿宋_GB2312" w:eastAsia="仿宋_GB2312" w:cs="仿宋_GB2312" w:hint="eastAsia"/>
          <w:sz w:val="28"/>
          <w:szCs w:val="28"/>
        </w:rPr>
        <w:t>、管理、艺术等11大学科门类。拥有8个一级学科博士学位授权点，26个一级学科硕士学位授权点，16种硕士专业学位授权类型，92个本科专业，3个博士后流动站（科研工作站)。</w:t>
      </w:r>
    </w:p>
    <w:p w:rsidR="008B26B2" w:rsidRDefault="00B9007F">
      <w:pPr>
        <w:spacing w:line="50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石河子大学医学院前身是成立于1949年的中国人民解放军第一兵团卫生学校,经过69年的发展，借助北京大学、华中科技大学等对口支援高校的援建，已成为 “211工程”重点建设大学和国家“一省一校”重点建设大学下具有明显区域特色优势的医学院校。现有5个“中西部高校综合实力提升工程”学科建设项目，5个省级重点学科。拥有1个疾病模型实验动物学博士点，基础医学、临床医学、护理学3个一级学科34个二级学科硕士学位点。同时，以新疆地方与民族高发病教育部重点实验室平台建设为契机，围绕感染与人畜共患病、心血管疾病与神经修复、肿瘤与代谢性疾病研究三大研究方向，成功获</w:t>
      </w:r>
      <w:proofErr w:type="gramStart"/>
      <w:r>
        <w:rPr>
          <w:rFonts w:ascii="仿宋_GB2312" w:eastAsia="仿宋_GB2312" w:cs="仿宋_GB2312" w:hint="eastAsia"/>
          <w:sz w:val="28"/>
          <w:szCs w:val="28"/>
        </w:rPr>
        <w:t>批国际</w:t>
      </w:r>
      <w:proofErr w:type="gramEnd"/>
      <w:r>
        <w:rPr>
          <w:rFonts w:ascii="仿宋_GB2312" w:eastAsia="仿宋_GB2312" w:cs="仿宋_GB2312" w:hint="eastAsia"/>
          <w:sz w:val="28"/>
          <w:szCs w:val="28"/>
        </w:rPr>
        <w:t>科技合作基地、5个省级研究中心，与北京大学心血研究所联合挂牌成立心血管研究基地。</w:t>
      </w:r>
    </w:p>
    <w:p w:rsidR="008B26B2" w:rsidRDefault="00B9007F">
      <w:pPr>
        <w:spacing w:line="50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学院现设有临床医学系、基础医学系、护理系等8个系，开设临床医学、护理学、预防医学、口腔医学、医学影像学、医学检验技术6个本科专业。学院拥有4所附属医院（直属医院1所，非直属医院3所），1所临床学院，22所教学、实习医院。现有专、兼职教师 750人，其中“全国优秀科技工作者”及“十佳全国优秀科技工作者提名奖”1人，国家人事部、农业部、卫生部评为有突出贡献的中青年专家11人，入选国家“国家百千万人才工程”1人，“青年千人计划”新疆项目3人，长江学者1人，绿洲学者3人。享受政府特殊津贴专家34人；教授53人，副教授123人，讲师406人；博士81人，在读</w:t>
      </w:r>
      <w:r>
        <w:rPr>
          <w:rFonts w:ascii="仿宋_GB2312" w:eastAsia="仿宋_GB2312" w:cs="仿宋_GB2312" w:hint="eastAsia"/>
          <w:sz w:val="28"/>
          <w:szCs w:val="28"/>
        </w:rPr>
        <w:lastRenderedPageBreak/>
        <w:t>博士81人，硕士467人；硕士以上学历教师占83.8%，年龄结构合理，中青年教师占83%，35岁以下青年教师占43%；博士生导师18人，硕士生导师316人。学院现有各级各类学生7894人，其中本科学生3203人，研究生812人，博士研究生3人，留学生368人。</w:t>
      </w:r>
    </w:p>
    <w:p w:rsidR="008B26B2" w:rsidRDefault="00B9007F">
      <w:pPr>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多年来，在各级领导的关心下，学院始终坚持“立足兵团、服务新疆、面向全国、辐射中亚”的办学定位，把培养适应区域经济社会发展需要的高素质应用型医学人才作为根本任务，先后为国家培养各级各类医药卫生技术人才2万余名，学科建设水平日益提高，教学科研条件明显改善，社会声誉影响显著提升。今后，我们将抢抓国家“一带一路”战略和第二次新疆工作座谈会等机遇，充分依托综合性大学优势，全面提升人才培养、科学研究、社会服务、文化传承与创新的整体水平。</w:t>
      </w:r>
    </w:p>
    <w:p w:rsidR="008B26B2" w:rsidRDefault="00B9007F">
      <w:pPr>
        <w:pStyle w:val="a5"/>
        <w:spacing w:before="0" w:beforeAutospacing="0" w:after="0" w:afterAutospacing="0" w:line="500" w:lineRule="exact"/>
        <w:ind w:firstLineChars="200" w:firstLine="560"/>
        <w:rPr>
          <w:rFonts w:ascii="黑体" w:eastAsia="黑体" w:hAnsi="黑体" w:cs="Times New Roman"/>
          <w:sz w:val="28"/>
          <w:szCs w:val="28"/>
        </w:rPr>
      </w:pPr>
      <w:r>
        <w:rPr>
          <w:rFonts w:ascii="黑体" w:eastAsia="黑体" w:hAnsi="黑体" w:cs="黑体" w:hint="eastAsia"/>
          <w:sz w:val="28"/>
          <w:szCs w:val="28"/>
        </w:rPr>
        <w:t>二、招聘岗位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1985"/>
        <w:gridCol w:w="1417"/>
        <w:gridCol w:w="1418"/>
        <w:gridCol w:w="2409"/>
      </w:tblGrid>
      <w:tr w:rsidR="008B26B2" w:rsidTr="00277C4A">
        <w:tc>
          <w:tcPr>
            <w:tcW w:w="709" w:type="dxa"/>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序号</w:t>
            </w:r>
          </w:p>
        </w:tc>
        <w:tc>
          <w:tcPr>
            <w:tcW w:w="1134"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招聘岗位</w:t>
            </w:r>
          </w:p>
        </w:tc>
        <w:tc>
          <w:tcPr>
            <w:tcW w:w="1985"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需求专业</w:t>
            </w:r>
          </w:p>
        </w:tc>
        <w:tc>
          <w:tcPr>
            <w:tcW w:w="1417"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学历层次</w:t>
            </w:r>
          </w:p>
        </w:tc>
        <w:tc>
          <w:tcPr>
            <w:tcW w:w="1418"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招聘人数</w:t>
            </w:r>
          </w:p>
        </w:tc>
        <w:tc>
          <w:tcPr>
            <w:tcW w:w="2409"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备注</w:t>
            </w:r>
          </w:p>
        </w:tc>
      </w:tr>
      <w:tr w:rsidR="008B26B2" w:rsidTr="00277C4A">
        <w:tc>
          <w:tcPr>
            <w:tcW w:w="709" w:type="dxa"/>
            <w:vAlign w:val="center"/>
          </w:tcPr>
          <w:p w:rsidR="008B26B2" w:rsidRPr="00277C4A" w:rsidRDefault="00B9007F">
            <w:pPr>
              <w:jc w:val="center"/>
              <w:rPr>
                <w:rFonts w:ascii="仿宋_GB2312" w:eastAsia="仿宋_GB2312" w:cs="仿宋_GB2312"/>
              </w:rPr>
            </w:pPr>
            <w:r w:rsidRPr="00277C4A">
              <w:rPr>
                <w:rFonts w:ascii="仿宋_GB2312" w:eastAsia="仿宋_GB2312" w:cs="仿宋_GB2312"/>
              </w:rPr>
              <w:t>1</w:t>
            </w:r>
          </w:p>
        </w:tc>
        <w:tc>
          <w:tcPr>
            <w:tcW w:w="1134" w:type="dxa"/>
            <w:vAlign w:val="center"/>
          </w:tcPr>
          <w:p w:rsidR="008B26B2" w:rsidRPr="00277C4A" w:rsidRDefault="00B9007F">
            <w:pPr>
              <w:jc w:val="center"/>
              <w:rPr>
                <w:rFonts w:ascii="仿宋_GB2312" w:eastAsia="仿宋_GB2312" w:cs="仿宋_GB2312"/>
              </w:rPr>
            </w:pPr>
            <w:r w:rsidRPr="00277C4A">
              <w:rPr>
                <w:rFonts w:ascii="仿宋_GB2312" w:eastAsia="仿宋_GB2312" w:cs="仿宋_GB2312" w:hint="eastAsia"/>
              </w:rPr>
              <w:t>教师岗</w:t>
            </w:r>
          </w:p>
        </w:tc>
        <w:tc>
          <w:tcPr>
            <w:tcW w:w="1985" w:type="dxa"/>
            <w:vAlign w:val="center"/>
          </w:tcPr>
          <w:p w:rsidR="008B26B2" w:rsidRPr="00277C4A" w:rsidRDefault="00B9007F" w:rsidP="00277C4A">
            <w:pPr>
              <w:jc w:val="left"/>
              <w:rPr>
                <w:rFonts w:ascii="仿宋_GB2312" w:eastAsia="仿宋_GB2312" w:cs="仿宋_GB2312"/>
              </w:rPr>
            </w:pPr>
            <w:r w:rsidRPr="00277C4A">
              <w:rPr>
                <w:rFonts w:ascii="仿宋_GB2312" w:eastAsia="仿宋_GB2312" w:cs="仿宋_GB2312" w:hint="eastAsia"/>
              </w:rPr>
              <w:t>医学或相关专业</w:t>
            </w:r>
          </w:p>
        </w:tc>
        <w:tc>
          <w:tcPr>
            <w:tcW w:w="1417" w:type="dxa"/>
            <w:vAlign w:val="center"/>
          </w:tcPr>
          <w:p w:rsidR="008B26B2" w:rsidRPr="00277C4A" w:rsidRDefault="00B9007F">
            <w:pPr>
              <w:jc w:val="center"/>
              <w:rPr>
                <w:rFonts w:ascii="仿宋_GB2312" w:eastAsia="仿宋_GB2312" w:cs="仿宋_GB2312"/>
              </w:rPr>
            </w:pPr>
            <w:r w:rsidRPr="00277C4A">
              <w:rPr>
                <w:rFonts w:ascii="仿宋_GB2312" w:eastAsia="仿宋_GB2312" w:cs="仿宋_GB2312" w:hint="eastAsia"/>
              </w:rPr>
              <w:t>博士</w:t>
            </w:r>
          </w:p>
        </w:tc>
        <w:tc>
          <w:tcPr>
            <w:tcW w:w="1418" w:type="dxa"/>
            <w:vAlign w:val="center"/>
          </w:tcPr>
          <w:p w:rsidR="008B26B2" w:rsidRPr="00277C4A" w:rsidRDefault="00B9007F">
            <w:pPr>
              <w:jc w:val="center"/>
              <w:rPr>
                <w:rFonts w:ascii="仿宋_GB2312" w:eastAsia="仿宋_GB2312" w:cs="仿宋_GB2312"/>
              </w:rPr>
            </w:pPr>
            <w:r w:rsidRPr="00277C4A">
              <w:rPr>
                <w:rFonts w:ascii="仿宋_GB2312" w:eastAsia="仿宋_GB2312" w:cs="仿宋_GB2312" w:hint="eastAsia"/>
              </w:rPr>
              <w:t>若干</w:t>
            </w:r>
          </w:p>
        </w:tc>
        <w:tc>
          <w:tcPr>
            <w:tcW w:w="2409" w:type="dxa"/>
            <w:vAlign w:val="center"/>
          </w:tcPr>
          <w:p w:rsidR="008B26B2" w:rsidRPr="00277C4A" w:rsidRDefault="00B9007F" w:rsidP="00277C4A">
            <w:pPr>
              <w:jc w:val="left"/>
              <w:rPr>
                <w:rFonts w:ascii="仿宋_GB2312" w:eastAsia="仿宋_GB2312" w:cs="仿宋_GB2312"/>
              </w:rPr>
            </w:pPr>
            <w:r w:rsidRPr="00277C4A">
              <w:rPr>
                <w:rFonts w:ascii="仿宋_GB2312" w:eastAsia="仿宋_GB2312" w:cs="仿宋_GB2312" w:hint="eastAsia"/>
              </w:rPr>
              <w:t>各类高层次人才</w:t>
            </w:r>
          </w:p>
        </w:tc>
      </w:tr>
      <w:tr w:rsidR="008B26B2" w:rsidTr="00277C4A">
        <w:tc>
          <w:tcPr>
            <w:tcW w:w="709"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rPr>
              <w:t>2</w:t>
            </w:r>
          </w:p>
        </w:tc>
        <w:tc>
          <w:tcPr>
            <w:tcW w:w="1134"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教师岗</w:t>
            </w:r>
          </w:p>
        </w:tc>
        <w:tc>
          <w:tcPr>
            <w:tcW w:w="1985" w:type="dxa"/>
            <w:vAlign w:val="center"/>
          </w:tcPr>
          <w:p w:rsidR="008B26B2" w:rsidRPr="00277C4A" w:rsidRDefault="00B9007F" w:rsidP="00277C4A">
            <w:pPr>
              <w:jc w:val="left"/>
              <w:rPr>
                <w:rFonts w:ascii="仿宋_GB2312" w:eastAsia="仿宋_GB2312" w:cs="Times New Roman"/>
              </w:rPr>
            </w:pPr>
            <w:r w:rsidRPr="00277C4A">
              <w:rPr>
                <w:rFonts w:ascii="仿宋_GB2312" w:eastAsia="仿宋_GB2312" w:cs="仿宋_GB2312" w:hint="eastAsia"/>
              </w:rPr>
              <w:t>医学或相关专业</w:t>
            </w:r>
          </w:p>
        </w:tc>
        <w:tc>
          <w:tcPr>
            <w:tcW w:w="1417"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博士</w:t>
            </w:r>
          </w:p>
        </w:tc>
        <w:tc>
          <w:tcPr>
            <w:tcW w:w="1418"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若干</w:t>
            </w:r>
          </w:p>
        </w:tc>
        <w:tc>
          <w:tcPr>
            <w:tcW w:w="2409" w:type="dxa"/>
            <w:vAlign w:val="center"/>
          </w:tcPr>
          <w:p w:rsidR="008B26B2" w:rsidRPr="00277C4A" w:rsidRDefault="00B9007F" w:rsidP="00277C4A">
            <w:pPr>
              <w:jc w:val="left"/>
              <w:rPr>
                <w:rFonts w:ascii="仿宋_GB2312" w:eastAsia="仿宋_GB2312" w:cs="Times New Roman"/>
              </w:rPr>
            </w:pPr>
            <w:r w:rsidRPr="00277C4A">
              <w:rPr>
                <w:rFonts w:ascii="仿宋_GB2312" w:eastAsia="仿宋_GB2312" w:cs="仿宋_GB2312" w:hint="eastAsia"/>
              </w:rPr>
              <w:t>生物、生化、遗传学等方向</w:t>
            </w:r>
          </w:p>
        </w:tc>
      </w:tr>
      <w:tr w:rsidR="008B26B2" w:rsidTr="00277C4A">
        <w:tc>
          <w:tcPr>
            <w:tcW w:w="709" w:type="dxa"/>
            <w:vAlign w:val="center"/>
          </w:tcPr>
          <w:p w:rsidR="008B26B2" w:rsidRPr="00277C4A" w:rsidRDefault="00B9007F">
            <w:pPr>
              <w:jc w:val="center"/>
              <w:rPr>
                <w:rFonts w:ascii="仿宋_GB2312" w:eastAsia="仿宋_GB2312" w:cs="仿宋_GB2312"/>
              </w:rPr>
            </w:pPr>
            <w:r w:rsidRPr="00277C4A">
              <w:rPr>
                <w:rFonts w:ascii="仿宋_GB2312" w:eastAsia="仿宋_GB2312" w:cs="仿宋_GB2312"/>
              </w:rPr>
              <w:t>3</w:t>
            </w:r>
          </w:p>
        </w:tc>
        <w:tc>
          <w:tcPr>
            <w:tcW w:w="1134" w:type="dxa"/>
            <w:vAlign w:val="center"/>
          </w:tcPr>
          <w:p w:rsidR="008B26B2" w:rsidRPr="00277C4A" w:rsidRDefault="00B9007F">
            <w:pPr>
              <w:jc w:val="center"/>
              <w:rPr>
                <w:rFonts w:ascii="仿宋_GB2312" w:eastAsia="仿宋_GB2312" w:cs="仿宋_GB2312"/>
              </w:rPr>
            </w:pPr>
            <w:r w:rsidRPr="00277C4A">
              <w:rPr>
                <w:rFonts w:ascii="仿宋_GB2312" w:eastAsia="仿宋_GB2312" w:cs="仿宋_GB2312" w:hint="eastAsia"/>
              </w:rPr>
              <w:t>教师岗</w:t>
            </w:r>
          </w:p>
        </w:tc>
        <w:tc>
          <w:tcPr>
            <w:tcW w:w="1985" w:type="dxa"/>
            <w:vAlign w:val="center"/>
          </w:tcPr>
          <w:p w:rsidR="008B26B2" w:rsidRPr="00277C4A" w:rsidRDefault="00B9007F" w:rsidP="00277C4A">
            <w:pPr>
              <w:jc w:val="left"/>
              <w:rPr>
                <w:rFonts w:ascii="仿宋_GB2312" w:eastAsia="仿宋_GB2312" w:cs="仿宋_GB2312"/>
              </w:rPr>
            </w:pPr>
            <w:r w:rsidRPr="00277C4A">
              <w:rPr>
                <w:rFonts w:ascii="仿宋_GB2312" w:eastAsia="仿宋_GB2312" w:cs="仿宋_GB2312" w:hint="eastAsia"/>
              </w:rPr>
              <w:t>病理学或临床医学</w:t>
            </w:r>
          </w:p>
        </w:tc>
        <w:tc>
          <w:tcPr>
            <w:tcW w:w="1417" w:type="dxa"/>
            <w:vAlign w:val="center"/>
          </w:tcPr>
          <w:p w:rsidR="008B26B2" w:rsidRPr="00277C4A" w:rsidRDefault="00B9007F">
            <w:pPr>
              <w:jc w:val="center"/>
              <w:rPr>
                <w:rFonts w:ascii="仿宋_GB2312" w:eastAsia="仿宋_GB2312" w:cs="仿宋_GB2312"/>
              </w:rPr>
            </w:pPr>
            <w:r w:rsidRPr="00277C4A">
              <w:rPr>
                <w:rFonts w:ascii="仿宋_GB2312" w:eastAsia="仿宋_GB2312" w:cs="仿宋_GB2312" w:hint="eastAsia"/>
              </w:rPr>
              <w:t>硕士及以上</w:t>
            </w:r>
          </w:p>
        </w:tc>
        <w:tc>
          <w:tcPr>
            <w:tcW w:w="1418" w:type="dxa"/>
            <w:vAlign w:val="center"/>
          </w:tcPr>
          <w:p w:rsidR="008B26B2" w:rsidRPr="00277C4A" w:rsidRDefault="00B9007F">
            <w:pPr>
              <w:jc w:val="center"/>
              <w:rPr>
                <w:rFonts w:ascii="仿宋_GB2312" w:eastAsia="仿宋_GB2312" w:cs="仿宋_GB2312"/>
              </w:rPr>
            </w:pPr>
            <w:r w:rsidRPr="00277C4A">
              <w:rPr>
                <w:rFonts w:ascii="仿宋_GB2312" w:eastAsia="仿宋_GB2312" w:cs="Times New Roman" w:hint="eastAsia"/>
              </w:rPr>
              <w:t>若干</w:t>
            </w:r>
          </w:p>
        </w:tc>
        <w:tc>
          <w:tcPr>
            <w:tcW w:w="2409" w:type="dxa"/>
            <w:vAlign w:val="center"/>
          </w:tcPr>
          <w:p w:rsidR="008B26B2" w:rsidRPr="00277C4A" w:rsidRDefault="00B9007F" w:rsidP="00277C4A">
            <w:pPr>
              <w:jc w:val="left"/>
              <w:rPr>
                <w:rFonts w:ascii="仿宋_GB2312" w:eastAsia="仿宋_GB2312" w:cs="仿宋_GB2312"/>
              </w:rPr>
            </w:pPr>
            <w:r w:rsidRPr="00277C4A">
              <w:rPr>
                <w:rFonts w:ascii="仿宋_GB2312" w:eastAsia="仿宋_GB2312" w:cs="仿宋_GB2312"/>
              </w:rPr>
              <w:t>985</w:t>
            </w:r>
            <w:r w:rsidRPr="00277C4A">
              <w:rPr>
                <w:rFonts w:ascii="仿宋_GB2312" w:eastAsia="仿宋_GB2312" w:cs="仿宋_GB2312" w:hint="eastAsia"/>
              </w:rPr>
              <w:t>、</w:t>
            </w:r>
            <w:r w:rsidRPr="00277C4A">
              <w:rPr>
                <w:rFonts w:ascii="仿宋_GB2312" w:eastAsia="仿宋_GB2312" w:cs="仿宋_GB2312"/>
              </w:rPr>
              <w:t>211</w:t>
            </w:r>
            <w:r w:rsidRPr="00277C4A">
              <w:rPr>
                <w:rFonts w:ascii="仿宋_GB2312" w:eastAsia="仿宋_GB2312" w:cs="仿宋_GB2312" w:hint="eastAsia"/>
              </w:rPr>
              <w:t>高校毕业，有执业医师资格证</w:t>
            </w:r>
          </w:p>
        </w:tc>
      </w:tr>
      <w:tr w:rsidR="008B26B2" w:rsidTr="00277C4A">
        <w:tc>
          <w:tcPr>
            <w:tcW w:w="709"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rPr>
              <w:t>4</w:t>
            </w:r>
          </w:p>
        </w:tc>
        <w:tc>
          <w:tcPr>
            <w:tcW w:w="1134"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教师岗</w:t>
            </w:r>
          </w:p>
        </w:tc>
        <w:tc>
          <w:tcPr>
            <w:tcW w:w="1985" w:type="dxa"/>
            <w:vAlign w:val="center"/>
          </w:tcPr>
          <w:p w:rsidR="008B26B2" w:rsidRPr="00277C4A" w:rsidRDefault="00B9007F" w:rsidP="00277C4A">
            <w:pPr>
              <w:jc w:val="left"/>
              <w:rPr>
                <w:rFonts w:ascii="仿宋_GB2312" w:eastAsia="仿宋_GB2312" w:cs="Times New Roman"/>
              </w:rPr>
            </w:pPr>
            <w:r w:rsidRPr="00277C4A">
              <w:rPr>
                <w:rFonts w:ascii="仿宋_GB2312" w:eastAsia="仿宋_GB2312" w:cs="仿宋_GB2312" w:hint="eastAsia"/>
              </w:rPr>
              <w:t>公共卫生/预防医学</w:t>
            </w:r>
          </w:p>
        </w:tc>
        <w:tc>
          <w:tcPr>
            <w:tcW w:w="1417"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硕士及以上</w:t>
            </w:r>
          </w:p>
        </w:tc>
        <w:tc>
          <w:tcPr>
            <w:tcW w:w="1418"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若干</w:t>
            </w:r>
          </w:p>
        </w:tc>
        <w:tc>
          <w:tcPr>
            <w:tcW w:w="2409" w:type="dxa"/>
            <w:vAlign w:val="center"/>
          </w:tcPr>
          <w:p w:rsidR="008B26B2" w:rsidRPr="00277C4A" w:rsidRDefault="00B9007F" w:rsidP="00277C4A">
            <w:pPr>
              <w:jc w:val="left"/>
              <w:rPr>
                <w:rFonts w:ascii="仿宋_GB2312" w:eastAsia="仿宋_GB2312" w:cs="Times New Roman"/>
              </w:rPr>
            </w:pPr>
            <w:r w:rsidRPr="00277C4A">
              <w:rPr>
                <w:rFonts w:ascii="仿宋_GB2312" w:eastAsia="仿宋_GB2312" w:cs="Times New Roman" w:hint="eastAsia"/>
              </w:rPr>
              <w:t>流行病与卫生统计，少儿卫生与妇幼保健，营养与食品卫生方向</w:t>
            </w:r>
          </w:p>
        </w:tc>
      </w:tr>
      <w:tr w:rsidR="008B26B2" w:rsidTr="00277C4A">
        <w:tc>
          <w:tcPr>
            <w:tcW w:w="709"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rPr>
              <w:t>5</w:t>
            </w:r>
          </w:p>
        </w:tc>
        <w:tc>
          <w:tcPr>
            <w:tcW w:w="1134"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教师岗</w:t>
            </w:r>
          </w:p>
        </w:tc>
        <w:tc>
          <w:tcPr>
            <w:tcW w:w="1985" w:type="dxa"/>
            <w:vAlign w:val="center"/>
          </w:tcPr>
          <w:p w:rsidR="008B26B2" w:rsidRPr="00277C4A" w:rsidRDefault="00B9007F" w:rsidP="00277C4A">
            <w:pPr>
              <w:jc w:val="left"/>
              <w:rPr>
                <w:rFonts w:ascii="仿宋_GB2312" w:eastAsia="仿宋_GB2312" w:cs="Times New Roman"/>
              </w:rPr>
            </w:pPr>
            <w:r w:rsidRPr="00277C4A">
              <w:rPr>
                <w:rFonts w:ascii="仿宋_GB2312" w:eastAsia="仿宋_GB2312" w:cs="仿宋_GB2312" w:hint="eastAsia"/>
              </w:rPr>
              <w:t>护理学或医学相关专业</w:t>
            </w:r>
          </w:p>
        </w:tc>
        <w:tc>
          <w:tcPr>
            <w:tcW w:w="1417"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硕士及以上</w:t>
            </w:r>
          </w:p>
        </w:tc>
        <w:tc>
          <w:tcPr>
            <w:tcW w:w="1418"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若干</w:t>
            </w:r>
          </w:p>
        </w:tc>
        <w:tc>
          <w:tcPr>
            <w:tcW w:w="2409" w:type="dxa"/>
            <w:vAlign w:val="center"/>
          </w:tcPr>
          <w:p w:rsidR="008B26B2" w:rsidRPr="00277C4A" w:rsidRDefault="00B9007F" w:rsidP="00277C4A">
            <w:pPr>
              <w:jc w:val="left"/>
              <w:rPr>
                <w:rFonts w:ascii="仿宋_GB2312" w:eastAsia="仿宋_GB2312" w:cs="Times New Roman"/>
              </w:rPr>
            </w:pPr>
            <w:r w:rsidRPr="00277C4A">
              <w:rPr>
                <w:rFonts w:ascii="仿宋_GB2312" w:eastAsia="仿宋_GB2312" w:cs="仿宋_GB2312" w:hint="eastAsia"/>
              </w:rPr>
              <w:t>护理</w:t>
            </w:r>
          </w:p>
        </w:tc>
      </w:tr>
      <w:tr w:rsidR="008B26B2" w:rsidTr="00277C4A">
        <w:tc>
          <w:tcPr>
            <w:tcW w:w="709" w:type="dxa"/>
            <w:vAlign w:val="center"/>
          </w:tcPr>
          <w:p w:rsidR="008B26B2" w:rsidRPr="00277C4A" w:rsidRDefault="00B9007F">
            <w:pPr>
              <w:jc w:val="center"/>
              <w:rPr>
                <w:rFonts w:ascii="仿宋_GB2312" w:eastAsia="仿宋_GB2312" w:cs="Times New Roman"/>
              </w:rPr>
            </w:pPr>
            <w:r w:rsidRPr="00277C4A">
              <w:rPr>
                <w:rFonts w:ascii="仿宋_GB2312" w:eastAsia="仿宋_GB2312" w:cs="Times New Roman" w:hint="eastAsia"/>
              </w:rPr>
              <w:t>6</w:t>
            </w:r>
          </w:p>
        </w:tc>
        <w:tc>
          <w:tcPr>
            <w:tcW w:w="1134" w:type="dxa"/>
            <w:vAlign w:val="center"/>
          </w:tcPr>
          <w:p w:rsidR="008B26B2" w:rsidRPr="00277C4A" w:rsidRDefault="00B9007F">
            <w:pPr>
              <w:jc w:val="center"/>
              <w:rPr>
                <w:rFonts w:ascii="仿宋_GB2312" w:eastAsia="仿宋_GB2312" w:cs="Times New Roman"/>
              </w:rPr>
            </w:pPr>
            <w:r w:rsidRPr="00277C4A">
              <w:rPr>
                <w:rFonts w:ascii="仿宋_GB2312" w:eastAsia="仿宋_GB2312" w:cs="Times New Roman" w:hint="eastAsia"/>
              </w:rPr>
              <w:t>教师岗</w:t>
            </w:r>
          </w:p>
        </w:tc>
        <w:tc>
          <w:tcPr>
            <w:tcW w:w="1985" w:type="dxa"/>
            <w:vAlign w:val="center"/>
          </w:tcPr>
          <w:p w:rsidR="008B26B2" w:rsidRPr="00277C4A" w:rsidRDefault="00B9007F" w:rsidP="00277C4A">
            <w:pPr>
              <w:jc w:val="left"/>
              <w:rPr>
                <w:rFonts w:ascii="仿宋_GB2312" w:eastAsia="仿宋_GB2312" w:cs="Times New Roman"/>
              </w:rPr>
            </w:pPr>
            <w:r w:rsidRPr="00277C4A">
              <w:rPr>
                <w:rFonts w:ascii="仿宋_GB2312" w:eastAsia="仿宋_GB2312" w:cs="Times New Roman" w:hint="eastAsia"/>
              </w:rPr>
              <w:t>医学</w:t>
            </w:r>
          </w:p>
        </w:tc>
        <w:tc>
          <w:tcPr>
            <w:tcW w:w="1417" w:type="dxa"/>
            <w:vAlign w:val="center"/>
          </w:tcPr>
          <w:p w:rsidR="008B26B2" w:rsidRPr="00277C4A" w:rsidRDefault="00B9007F">
            <w:pPr>
              <w:jc w:val="center"/>
              <w:rPr>
                <w:rFonts w:ascii="仿宋_GB2312" w:eastAsia="仿宋_GB2312" w:cs="Times New Roman"/>
              </w:rPr>
            </w:pPr>
            <w:r w:rsidRPr="00277C4A">
              <w:rPr>
                <w:rFonts w:ascii="仿宋_GB2312" w:eastAsia="仿宋_GB2312" w:cs="仿宋_GB2312" w:hint="eastAsia"/>
              </w:rPr>
              <w:t>硕士及以上</w:t>
            </w:r>
          </w:p>
        </w:tc>
        <w:tc>
          <w:tcPr>
            <w:tcW w:w="1418" w:type="dxa"/>
            <w:vAlign w:val="center"/>
          </w:tcPr>
          <w:p w:rsidR="008B26B2" w:rsidRPr="00277C4A" w:rsidRDefault="00B9007F">
            <w:pPr>
              <w:jc w:val="center"/>
              <w:rPr>
                <w:rFonts w:ascii="仿宋_GB2312" w:eastAsia="仿宋_GB2312" w:cs="Times New Roman"/>
              </w:rPr>
            </w:pPr>
            <w:r w:rsidRPr="00277C4A">
              <w:rPr>
                <w:rFonts w:ascii="仿宋_GB2312" w:eastAsia="仿宋_GB2312" w:cs="Times New Roman" w:hint="eastAsia"/>
              </w:rPr>
              <w:t>若干</w:t>
            </w:r>
          </w:p>
        </w:tc>
        <w:tc>
          <w:tcPr>
            <w:tcW w:w="2409" w:type="dxa"/>
            <w:vAlign w:val="center"/>
          </w:tcPr>
          <w:p w:rsidR="008B26B2" w:rsidRPr="00277C4A" w:rsidRDefault="00B9007F" w:rsidP="00277C4A">
            <w:pPr>
              <w:jc w:val="left"/>
              <w:rPr>
                <w:rFonts w:ascii="仿宋_GB2312" w:eastAsia="仿宋_GB2312" w:cs="Times New Roman"/>
              </w:rPr>
            </w:pPr>
            <w:r w:rsidRPr="00277C4A">
              <w:rPr>
                <w:rFonts w:ascii="仿宋_GB2312" w:eastAsia="仿宋_GB2312" w:cs="仿宋_GB2312" w:hint="eastAsia"/>
              </w:rPr>
              <w:t>组胚、病原免疫、生理、病理生理、</w:t>
            </w:r>
            <w:r w:rsidRPr="00277C4A">
              <w:rPr>
                <w:rFonts w:ascii="仿宋_GB2312" w:eastAsia="仿宋_GB2312" w:cs="Times New Roman" w:hint="eastAsia"/>
              </w:rPr>
              <w:t>解剖</w:t>
            </w:r>
          </w:p>
        </w:tc>
      </w:tr>
    </w:tbl>
    <w:p w:rsidR="008B26B2" w:rsidRDefault="00B9007F">
      <w:pPr>
        <w:pStyle w:val="a5"/>
        <w:spacing w:before="0" w:beforeAutospacing="0" w:after="0" w:afterAutospacing="0" w:line="500" w:lineRule="exact"/>
        <w:ind w:firstLineChars="200" w:firstLine="560"/>
        <w:rPr>
          <w:rFonts w:ascii="黑体" w:eastAsia="黑体" w:hAnsi="黑体" w:cs="Times New Roman"/>
          <w:sz w:val="28"/>
          <w:szCs w:val="28"/>
        </w:rPr>
      </w:pPr>
      <w:r>
        <w:rPr>
          <w:rFonts w:ascii="黑体" w:eastAsia="黑体" w:hAnsi="黑体" w:cs="黑体"/>
          <w:sz w:val="28"/>
          <w:szCs w:val="28"/>
        </w:rPr>
        <w:lastRenderedPageBreak/>
        <w:t xml:space="preserve"> </w:t>
      </w:r>
      <w:r>
        <w:rPr>
          <w:rFonts w:ascii="黑体" w:eastAsia="黑体" w:hAnsi="黑体" w:cs="黑体" w:hint="eastAsia"/>
          <w:sz w:val="28"/>
          <w:szCs w:val="28"/>
        </w:rPr>
        <w:t>三、招聘范围</w:t>
      </w:r>
    </w:p>
    <w:p w:rsidR="008B26B2" w:rsidRDefault="00B9007F">
      <w:pPr>
        <w:pStyle w:val="a5"/>
        <w:spacing w:before="0" w:beforeAutospacing="0" w:after="0" w:afterAutospacing="0" w:line="500" w:lineRule="exact"/>
        <w:ind w:firstLineChars="200" w:firstLine="560"/>
        <w:rPr>
          <w:rFonts w:ascii="仿宋_GB2312" w:eastAsia="仿宋_GB2312" w:hAnsi="Calibri" w:cs="Times New Roman"/>
          <w:kern w:val="2"/>
          <w:sz w:val="28"/>
          <w:szCs w:val="28"/>
        </w:rPr>
      </w:pPr>
      <w:r>
        <w:rPr>
          <w:rFonts w:ascii="仿宋_GB2312" w:eastAsia="仿宋_GB2312" w:hAnsi="Calibri" w:cs="仿宋_GB2312" w:hint="eastAsia"/>
          <w:kern w:val="2"/>
          <w:sz w:val="28"/>
          <w:szCs w:val="28"/>
        </w:rPr>
        <w:t>面向国内外常年公开招聘。</w:t>
      </w:r>
    </w:p>
    <w:p w:rsidR="008B26B2" w:rsidRDefault="00B9007F">
      <w:pPr>
        <w:numPr>
          <w:ilvl w:val="0"/>
          <w:numId w:val="1"/>
        </w:num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待遇</w:t>
      </w:r>
    </w:p>
    <w:p w:rsidR="008B26B2" w:rsidRDefault="00B9007F">
      <w:pPr>
        <w:spacing w:line="500" w:lineRule="exact"/>
        <w:ind w:firstLineChars="200" w:firstLine="560"/>
        <w:rPr>
          <w:rFonts w:ascii="楷体" w:eastAsia="楷体" w:hAnsi="楷体" w:cs="楷体"/>
          <w:b/>
          <w:bCs/>
          <w:sz w:val="28"/>
          <w:szCs w:val="28"/>
        </w:rPr>
      </w:pPr>
      <w:r>
        <w:rPr>
          <w:rFonts w:ascii="仿宋_GB2312" w:eastAsia="仿宋_GB2312" w:cs="仿宋_GB2312" w:hint="eastAsia"/>
          <w:sz w:val="28"/>
          <w:szCs w:val="28"/>
        </w:rPr>
        <w:t>凡经过资格审核后来校考察、面试者，均给予往返交通及住宿费用的报销。</w:t>
      </w:r>
    </w:p>
    <w:p w:rsidR="008B26B2" w:rsidRDefault="00B9007F">
      <w:pPr>
        <w:numPr>
          <w:ilvl w:val="0"/>
          <w:numId w:val="2"/>
        </w:numPr>
        <w:spacing w:line="50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引进各类高层次人才</w:t>
      </w:r>
    </w:p>
    <w:p w:rsidR="008B26B2" w:rsidRDefault="00B9007F">
      <w:pPr>
        <w:pStyle w:val="1"/>
        <w:widowControl/>
        <w:wordWrap w:val="0"/>
        <w:spacing w:beforeAutospacing="0" w:afterAutospacing="0" w:line="390" w:lineRule="atLeast"/>
        <w:rPr>
          <w:rFonts w:ascii="楷体" w:eastAsia="楷体" w:hAnsi="楷体" w:cs="楷体" w:hint="default"/>
          <w:bCs/>
          <w:sz w:val="28"/>
          <w:szCs w:val="28"/>
        </w:rPr>
      </w:pPr>
      <w:r>
        <w:rPr>
          <w:rFonts w:ascii="楷体" w:eastAsia="楷体" w:hAnsi="楷体" w:cs="楷体"/>
          <w:bCs/>
          <w:sz w:val="28"/>
          <w:szCs w:val="28"/>
        </w:rPr>
        <w:t xml:space="preserve">     </w:t>
      </w:r>
      <w:r>
        <w:rPr>
          <w:rFonts w:ascii="仿宋_GB2312" w:eastAsia="仿宋_GB2312" w:hAnsi="Calibri" w:cs="仿宋_GB2312"/>
          <w:b w:val="0"/>
          <w:kern w:val="2"/>
          <w:sz w:val="28"/>
          <w:szCs w:val="28"/>
        </w:rPr>
        <w:t>各类高层次人才按照《石河子大学高层次人才引进办法》（石大校发〔2017〕191号）文件精神进行聘任，待遇面议。</w:t>
      </w:r>
      <w:bookmarkStart w:id="0" w:name="_GoBack"/>
      <w:bookmarkEnd w:id="0"/>
    </w:p>
    <w:p w:rsidR="008B26B2" w:rsidRDefault="00B9007F">
      <w:pPr>
        <w:spacing w:line="500" w:lineRule="exact"/>
        <w:ind w:firstLineChars="200" w:firstLine="562"/>
        <w:rPr>
          <w:rFonts w:ascii="楷体" w:eastAsia="楷体" w:hAnsi="楷体" w:cs="Times New Roman"/>
          <w:b/>
          <w:bCs/>
          <w:sz w:val="28"/>
          <w:szCs w:val="28"/>
        </w:rPr>
      </w:pPr>
      <w:r>
        <w:rPr>
          <w:rFonts w:ascii="楷体" w:eastAsia="楷体" w:hAnsi="楷体" w:cs="楷体" w:hint="eastAsia"/>
          <w:b/>
          <w:bCs/>
          <w:sz w:val="28"/>
          <w:szCs w:val="28"/>
        </w:rPr>
        <w:t>（二）引进博士优惠政策</w:t>
      </w:r>
    </w:p>
    <w:p w:rsidR="008B26B2" w:rsidRDefault="00B9007F">
      <w:pPr>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医药学相关专业发放引进补贴6</w:t>
      </w:r>
      <w:r>
        <w:rPr>
          <w:rFonts w:ascii="仿宋_GB2312" w:eastAsia="仿宋_GB2312" w:cs="仿宋_GB2312"/>
          <w:sz w:val="28"/>
          <w:szCs w:val="28"/>
        </w:rPr>
        <w:t>0</w:t>
      </w:r>
      <w:r>
        <w:rPr>
          <w:rFonts w:ascii="仿宋_GB2312" w:eastAsia="仿宋_GB2312" w:cs="仿宋_GB2312" w:hint="eastAsia"/>
          <w:sz w:val="28"/>
          <w:szCs w:val="28"/>
        </w:rPr>
        <w:t>万元（含税），聘副教授职称，提供20万元科研启动费；其余专业给予30～60万补贴不等（含税），并按照学术水平聘讲师或副教授职称，提供5-20万科研启动费。</w:t>
      </w:r>
    </w:p>
    <w:p w:rsidR="008B26B2" w:rsidRDefault="00B9007F">
      <w:pPr>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说明：引进博士须具备毕业证和学位证，年龄一般不超过45岁。实行聘任制管理，一个聘期为</w:t>
      </w:r>
      <w:r>
        <w:rPr>
          <w:rFonts w:ascii="仿宋_GB2312" w:eastAsia="仿宋_GB2312" w:cs="仿宋_GB2312"/>
          <w:sz w:val="28"/>
          <w:szCs w:val="28"/>
        </w:rPr>
        <w:t>8</w:t>
      </w:r>
      <w:r>
        <w:rPr>
          <w:rFonts w:ascii="仿宋_GB2312" w:eastAsia="仿宋_GB2312" w:cs="仿宋_GB2312" w:hint="eastAsia"/>
          <w:sz w:val="28"/>
          <w:szCs w:val="28"/>
        </w:rPr>
        <w:t>年。</w:t>
      </w:r>
    </w:p>
    <w:p w:rsidR="008B26B2" w:rsidRDefault="00B9007F">
      <w:pPr>
        <w:spacing w:line="500" w:lineRule="exact"/>
        <w:ind w:firstLineChars="200" w:firstLine="562"/>
        <w:rPr>
          <w:rFonts w:ascii="楷体" w:eastAsia="楷体" w:hAnsi="楷体" w:cs="Times New Roman"/>
          <w:b/>
          <w:bCs/>
          <w:sz w:val="28"/>
          <w:szCs w:val="28"/>
        </w:rPr>
      </w:pPr>
      <w:r>
        <w:rPr>
          <w:rFonts w:ascii="楷体" w:eastAsia="楷体" w:hAnsi="楷体" w:cs="楷体" w:hint="eastAsia"/>
          <w:b/>
          <w:bCs/>
          <w:sz w:val="28"/>
          <w:szCs w:val="28"/>
        </w:rPr>
        <w:t>（三）引进硕士优惠政策</w:t>
      </w:r>
    </w:p>
    <w:p w:rsidR="008B26B2" w:rsidRDefault="00B9007F">
      <w:pPr>
        <w:spacing w:line="50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引进硕士须具备毕业证和学位证，年龄一般不超过35岁。自进校之日起，享受</w:t>
      </w:r>
      <w:r>
        <w:rPr>
          <w:rFonts w:ascii="仿宋_GB2312" w:eastAsia="仿宋_GB2312" w:cs="仿宋_GB2312"/>
          <w:sz w:val="28"/>
          <w:szCs w:val="28"/>
        </w:rPr>
        <w:t>2</w:t>
      </w:r>
      <w:r>
        <w:rPr>
          <w:rFonts w:ascii="仿宋_GB2312" w:eastAsia="仿宋_GB2312" w:cs="仿宋_GB2312" w:hint="eastAsia"/>
          <w:sz w:val="28"/>
          <w:szCs w:val="28"/>
        </w:rPr>
        <w:t>年讲师待遇，工作半年以上认定初级职称，半年后不受资历限制申报讲师职称评审，</w:t>
      </w:r>
      <w:r>
        <w:rPr>
          <w:rFonts w:ascii="仿宋_GB2312" w:eastAsia="仿宋_GB2312" w:cs="仿宋_GB2312"/>
          <w:sz w:val="28"/>
          <w:szCs w:val="28"/>
        </w:rPr>
        <w:t>2</w:t>
      </w:r>
      <w:r>
        <w:rPr>
          <w:rFonts w:ascii="仿宋_GB2312" w:eastAsia="仿宋_GB2312" w:cs="仿宋_GB2312" w:hint="eastAsia"/>
          <w:sz w:val="28"/>
          <w:szCs w:val="28"/>
        </w:rPr>
        <w:t>年后未通过者按初级职称兑现工资待遇。</w:t>
      </w:r>
    </w:p>
    <w:p w:rsidR="008B26B2" w:rsidRDefault="00B9007F">
      <w:pPr>
        <w:spacing w:line="500" w:lineRule="exact"/>
        <w:ind w:firstLineChars="200" w:firstLine="560"/>
        <w:rPr>
          <w:rFonts w:ascii="黑体" w:eastAsia="黑体" w:hAnsi="黑体" w:cs="Times New Roman"/>
          <w:sz w:val="28"/>
          <w:szCs w:val="28"/>
        </w:rPr>
      </w:pPr>
      <w:r>
        <w:rPr>
          <w:rFonts w:ascii="黑体" w:eastAsia="黑体" w:hAnsi="黑体" w:cs="黑体" w:hint="eastAsia"/>
          <w:sz w:val="28"/>
          <w:szCs w:val="28"/>
        </w:rPr>
        <w:t>五、联系方式</w:t>
      </w:r>
    </w:p>
    <w:p w:rsidR="008B26B2" w:rsidRDefault="00B9007F">
      <w:pPr>
        <w:spacing w:line="50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联</w:t>
      </w:r>
      <w:r>
        <w:rPr>
          <w:rFonts w:ascii="仿宋_GB2312" w:eastAsia="仿宋_GB2312" w:cs="仿宋_GB2312"/>
          <w:sz w:val="28"/>
          <w:szCs w:val="28"/>
        </w:rPr>
        <w:t xml:space="preserve"> </w:t>
      </w:r>
      <w:r>
        <w:rPr>
          <w:rFonts w:ascii="仿宋_GB2312" w:eastAsia="仿宋_GB2312" w:cs="仿宋_GB2312" w:hint="eastAsia"/>
          <w:sz w:val="28"/>
          <w:szCs w:val="28"/>
        </w:rPr>
        <w:t>系</w:t>
      </w:r>
      <w:r>
        <w:rPr>
          <w:rFonts w:ascii="仿宋_GB2312" w:eastAsia="仿宋_GB2312" w:cs="仿宋_GB2312"/>
          <w:sz w:val="28"/>
          <w:szCs w:val="28"/>
        </w:rPr>
        <w:t xml:space="preserve"> </w:t>
      </w:r>
      <w:r>
        <w:rPr>
          <w:rFonts w:ascii="仿宋_GB2312" w:eastAsia="仿宋_GB2312" w:cs="仿宋_GB2312" w:hint="eastAsia"/>
          <w:sz w:val="28"/>
          <w:szCs w:val="28"/>
        </w:rPr>
        <w:t>人：王老师  电话：</w:t>
      </w:r>
      <w:r>
        <w:rPr>
          <w:rFonts w:ascii="仿宋_GB2312" w:eastAsia="仿宋_GB2312" w:cs="仿宋_GB2312"/>
          <w:sz w:val="28"/>
          <w:szCs w:val="28"/>
        </w:rPr>
        <w:t>0993-2057</w:t>
      </w:r>
      <w:r>
        <w:rPr>
          <w:rFonts w:ascii="仿宋_GB2312" w:eastAsia="仿宋_GB2312" w:cs="仿宋_GB2312" w:hint="eastAsia"/>
          <w:sz w:val="28"/>
          <w:szCs w:val="28"/>
        </w:rPr>
        <w:t>007、</w:t>
      </w:r>
      <w:r>
        <w:rPr>
          <w:rFonts w:ascii="仿宋_GB2312" w:eastAsia="仿宋_GB2312" w:cs="仿宋_GB2312"/>
          <w:sz w:val="28"/>
          <w:szCs w:val="28"/>
        </w:rPr>
        <w:t>13399938566</w:t>
      </w:r>
    </w:p>
    <w:p w:rsidR="008B26B2" w:rsidRDefault="00B9007F">
      <w:pPr>
        <w:spacing w:line="50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 xml:space="preserve">          杜老师  电话：0993-2058809</w:t>
      </w:r>
    </w:p>
    <w:p w:rsidR="008B26B2" w:rsidRDefault="00B9007F">
      <w:pPr>
        <w:spacing w:line="500" w:lineRule="exact"/>
        <w:ind w:firstLineChars="200" w:firstLine="560"/>
        <w:rPr>
          <w:rFonts w:ascii="仿宋_GB2312" w:eastAsia="仿宋_GB2312" w:cs="Times New Roman"/>
          <w:sz w:val="28"/>
          <w:szCs w:val="28"/>
        </w:rPr>
      </w:pPr>
      <w:r>
        <w:rPr>
          <w:rFonts w:ascii="仿宋_GB2312" w:eastAsia="仿宋_GB2312" w:cs="仿宋_GB2312" w:hint="eastAsia"/>
          <w:sz w:val="28"/>
          <w:szCs w:val="28"/>
        </w:rPr>
        <w:t>地址：新疆石河子市北二路石河子大学医学院</w:t>
      </w:r>
      <w:r w:rsidR="00277C4A">
        <w:rPr>
          <w:rFonts w:ascii="仿宋_GB2312" w:eastAsia="仿宋_GB2312" w:cs="仿宋_GB2312" w:hint="eastAsia"/>
          <w:sz w:val="28"/>
          <w:szCs w:val="28"/>
        </w:rPr>
        <w:t>党政</w:t>
      </w:r>
      <w:r>
        <w:rPr>
          <w:rFonts w:ascii="仿宋_GB2312" w:eastAsia="仿宋_GB2312" w:cs="仿宋_GB2312" w:hint="eastAsia"/>
          <w:sz w:val="28"/>
          <w:szCs w:val="28"/>
        </w:rPr>
        <w:t>办公室</w:t>
      </w:r>
    </w:p>
    <w:p w:rsidR="00D75F5F" w:rsidRDefault="00B9007F">
      <w:pPr>
        <w:spacing w:line="500" w:lineRule="exact"/>
        <w:ind w:firstLineChars="200" w:firstLine="560"/>
        <w:rPr>
          <w:rFonts w:hint="eastAsia"/>
        </w:rPr>
      </w:pPr>
      <w:r>
        <w:rPr>
          <w:rFonts w:ascii="仿宋_GB2312" w:eastAsia="仿宋_GB2312" w:cs="仿宋_GB2312"/>
          <w:sz w:val="28"/>
          <w:szCs w:val="28"/>
        </w:rPr>
        <w:t>E-mail</w:t>
      </w:r>
      <w:r>
        <w:rPr>
          <w:rFonts w:ascii="仿宋_GB2312" w:eastAsia="仿宋_GB2312" w:cs="仿宋_GB2312" w:hint="eastAsia"/>
          <w:sz w:val="28"/>
          <w:szCs w:val="28"/>
        </w:rPr>
        <w:t>：</w:t>
      </w:r>
      <w:hyperlink r:id="rId8" w:history="1">
        <w:r>
          <w:rPr>
            <w:rStyle w:val="a6"/>
            <w:rFonts w:ascii="仿宋_GB2312" w:eastAsia="仿宋_GB2312" w:cs="仿宋_GB2312"/>
            <w:sz w:val="28"/>
            <w:szCs w:val="28"/>
          </w:rPr>
          <w:t>shzu2057367@shzu.edu.cn</w:t>
        </w:r>
      </w:hyperlink>
    </w:p>
    <w:p w:rsidR="008B26B2" w:rsidRDefault="00B9007F" w:rsidP="00D75F5F">
      <w:pPr>
        <w:spacing w:line="500" w:lineRule="exact"/>
        <w:ind w:firstLineChars="200" w:firstLine="560"/>
        <w:rPr>
          <w:rFonts w:hint="eastAsia"/>
          <w:sz w:val="28"/>
          <w:szCs w:val="28"/>
        </w:rPr>
      </w:pPr>
      <w:r>
        <w:rPr>
          <w:rFonts w:ascii="仿宋_GB2312" w:eastAsia="仿宋_GB2312" w:cs="仿宋_GB2312" w:hint="eastAsia"/>
          <w:sz w:val="28"/>
          <w:szCs w:val="28"/>
        </w:rPr>
        <w:t>网</w:t>
      </w:r>
      <w:r w:rsidR="00D75F5F">
        <w:rPr>
          <w:rFonts w:ascii="仿宋_GB2312" w:eastAsia="仿宋_GB2312" w:cs="仿宋_GB2312" w:hint="eastAsia"/>
          <w:sz w:val="28"/>
          <w:szCs w:val="28"/>
        </w:rPr>
        <w:t xml:space="preserve">  </w:t>
      </w:r>
      <w:r>
        <w:rPr>
          <w:rFonts w:ascii="仿宋_GB2312" w:eastAsia="仿宋_GB2312" w:cs="仿宋_GB2312" w:hint="eastAsia"/>
          <w:sz w:val="28"/>
          <w:szCs w:val="28"/>
        </w:rPr>
        <w:t>址</w:t>
      </w:r>
      <w:r>
        <w:rPr>
          <w:rFonts w:ascii="仿宋_GB2312" w:eastAsia="仿宋_GB2312" w:cs="仿宋_GB2312"/>
          <w:sz w:val="28"/>
          <w:szCs w:val="28"/>
        </w:rPr>
        <w:t>:</w:t>
      </w:r>
      <w:r w:rsidR="00D75F5F" w:rsidRPr="00D75F5F">
        <w:rPr>
          <w:sz w:val="17"/>
          <w:szCs w:val="17"/>
        </w:rPr>
        <w:t xml:space="preserve"> </w:t>
      </w:r>
      <w:hyperlink r:id="rId9" w:history="1">
        <w:r w:rsidR="00D75F5F" w:rsidRPr="00713B18">
          <w:rPr>
            <w:rStyle w:val="a6"/>
            <w:sz w:val="28"/>
            <w:szCs w:val="28"/>
          </w:rPr>
          <w:t>http://yixy.shzu.edu.cn/2018/1204/c6727a121999/page.htm</w:t>
        </w:r>
      </w:hyperlink>
    </w:p>
    <w:p w:rsidR="00D75F5F" w:rsidRPr="00D75F5F" w:rsidRDefault="00D75F5F" w:rsidP="00D75F5F">
      <w:pPr>
        <w:spacing w:line="500" w:lineRule="exact"/>
        <w:ind w:firstLineChars="200" w:firstLine="560"/>
        <w:rPr>
          <w:rFonts w:ascii="仿宋_GB2312" w:eastAsia="仿宋_GB2312" w:cs="Times New Roman"/>
          <w:sz w:val="28"/>
          <w:szCs w:val="28"/>
        </w:rPr>
      </w:pPr>
    </w:p>
    <w:p w:rsidR="008B26B2" w:rsidRDefault="008B26B2">
      <w:pPr>
        <w:spacing w:line="500" w:lineRule="exact"/>
        <w:ind w:firstLineChars="200" w:firstLine="640"/>
        <w:rPr>
          <w:rFonts w:ascii="仿宋_GB2312" w:eastAsia="仿宋_GB2312" w:cs="Times New Roman"/>
          <w:sz w:val="32"/>
          <w:szCs w:val="32"/>
        </w:rPr>
      </w:pPr>
    </w:p>
    <w:sectPr w:rsidR="008B26B2" w:rsidSect="008B26B2">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07" w:rsidRDefault="00990407" w:rsidP="00277C4A">
      <w:r>
        <w:separator/>
      </w:r>
    </w:p>
  </w:endnote>
  <w:endnote w:type="continuationSeparator" w:id="0">
    <w:p w:rsidR="00990407" w:rsidRDefault="00990407" w:rsidP="00277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07" w:rsidRDefault="00990407" w:rsidP="00277C4A">
      <w:r>
        <w:separator/>
      </w:r>
    </w:p>
  </w:footnote>
  <w:footnote w:type="continuationSeparator" w:id="0">
    <w:p w:rsidR="00990407" w:rsidRDefault="00990407" w:rsidP="00277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390D7"/>
    <w:multiLevelType w:val="singleLevel"/>
    <w:tmpl w:val="9CB390D7"/>
    <w:lvl w:ilvl="0">
      <w:start w:val="1"/>
      <w:numFmt w:val="chineseCounting"/>
      <w:suff w:val="nothing"/>
      <w:lvlText w:val="（%1）"/>
      <w:lvlJc w:val="left"/>
      <w:rPr>
        <w:rFonts w:hint="eastAsia"/>
      </w:rPr>
    </w:lvl>
  </w:abstractNum>
  <w:abstractNum w:abstractNumId="1">
    <w:nsid w:val="0833D187"/>
    <w:multiLevelType w:val="singleLevel"/>
    <w:tmpl w:val="0833D187"/>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804E52"/>
    <w:rsid w:val="000D5A09"/>
    <w:rsid w:val="001036D0"/>
    <w:rsid w:val="001316AF"/>
    <w:rsid w:val="00134006"/>
    <w:rsid w:val="00172CEA"/>
    <w:rsid w:val="001C1222"/>
    <w:rsid w:val="001E41A9"/>
    <w:rsid w:val="002100B3"/>
    <w:rsid w:val="002354F6"/>
    <w:rsid w:val="00277C4A"/>
    <w:rsid w:val="002C06BD"/>
    <w:rsid w:val="002C7647"/>
    <w:rsid w:val="002E2209"/>
    <w:rsid w:val="00367F34"/>
    <w:rsid w:val="003A2C68"/>
    <w:rsid w:val="003B49E1"/>
    <w:rsid w:val="003D2347"/>
    <w:rsid w:val="003E3B23"/>
    <w:rsid w:val="00435A17"/>
    <w:rsid w:val="004C0AA3"/>
    <w:rsid w:val="004E2C02"/>
    <w:rsid w:val="00530067"/>
    <w:rsid w:val="0053272D"/>
    <w:rsid w:val="00580AC8"/>
    <w:rsid w:val="005A766D"/>
    <w:rsid w:val="005F3063"/>
    <w:rsid w:val="00627FC8"/>
    <w:rsid w:val="006364F1"/>
    <w:rsid w:val="00675FAE"/>
    <w:rsid w:val="006A5DDB"/>
    <w:rsid w:val="00705601"/>
    <w:rsid w:val="00766631"/>
    <w:rsid w:val="00774AA6"/>
    <w:rsid w:val="00804E52"/>
    <w:rsid w:val="00851F51"/>
    <w:rsid w:val="008B26B2"/>
    <w:rsid w:val="008C0F4D"/>
    <w:rsid w:val="008C7492"/>
    <w:rsid w:val="00915861"/>
    <w:rsid w:val="00940619"/>
    <w:rsid w:val="009728D5"/>
    <w:rsid w:val="00990407"/>
    <w:rsid w:val="00991A9B"/>
    <w:rsid w:val="009B1687"/>
    <w:rsid w:val="009E2DAF"/>
    <w:rsid w:val="009F6D91"/>
    <w:rsid w:val="00A60913"/>
    <w:rsid w:val="00AD469B"/>
    <w:rsid w:val="00B9007F"/>
    <w:rsid w:val="00B93689"/>
    <w:rsid w:val="00B974DC"/>
    <w:rsid w:val="00BB5F49"/>
    <w:rsid w:val="00C05801"/>
    <w:rsid w:val="00C537E4"/>
    <w:rsid w:val="00D41023"/>
    <w:rsid w:val="00D75F5F"/>
    <w:rsid w:val="00DA58D1"/>
    <w:rsid w:val="00E25AEE"/>
    <w:rsid w:val="00E422D2"/>
    <w:rsid w:val="00E875A4"/>
    <w:rsid w:val="00EC121B"/>
    <w:rsid w:val="00ED3543"/>
    <w:rsid w:val="00F104A5"/>
    <w:rsid w:val="00F1745D"/>
    <w:rsid w:val="00F32454"/>
    <w:rsid w:val="00F425F0"/>
    <w:rsid w:val="00F54BDA"/>
    <w:rsid w:val="3D17248B"/>
    <w:rsid w:val="465F7BF6"/>
    <w:rsid w:val="64FC64FC"/>
    <w:rsid w:val="69692062"/>
    <w:rsid w:val="70E051FB"/>
    <w:rsid w:val="771508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B2"/>
    <w:pPr>
      <w:widowControl w:val="0"/>
      <w:jc w:val="both"/>
    </w:pPr>
    <w:rPr>
      <w:rFonts w:ascii="Calibri" w:hAnsi="Calibri" w:cs="Calibri"/>
      <w:kern w:val="2"/>
      <w:sz w:val="21"/>
      <w:szCs w:val="21"/>
    </w:rPr>
  </w:style>
  <w:style w:type="paragraph" w:styleId="1">
    <w:name w:val="heading 1"/>
    <w:basedOn w:val="a"/>
    <w:next w:val="a"/>
    <w:qFormat/>
    <w:locked/>
    <w:rsid w:val="008B26B2"/>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B26B2"/>
    <w:pPr>
      <w:tabs>
        <w:tab w:val="center" w:pos="4153"/>
        <w:tab w:val="right" w:pos="8306"/>
      </w:tabs>
      <w:snapToGrid w:val="0"/>
      <w:jc w:val="left"/>
    </w:pPr>
    <w:rPr>
      <w:sz w:val="18"/>
      <w:szCs w:val="18"/>
    </w:rPr>
  </w:style>
  <w:style w:type="paragraph" w:styleId="a4">
    <w:name w:val="header"/>
    <w:basedOn w:val="a"/>
    <w:link w:val="Char0"/>
    <w:uiPriority w:val="99"/>
    <w:qFormat/>
    <w:rsid w:val="008B26B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8B26B2"/>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qFormat/>
    <w:rsid w:val="008B26B2"/>
    <w:rPr>
      <w:color w:val="0000FF"/>
      <w:u w:val="single"/>
    </w:rPr>
  </w:style>
  <w:style w:type="table" w:styleId="a7">
    <w:name w:val="Table Grid"/>
    <w:basedOn w:val="a1"/>
    <w:uiPriority w:val="99"/>
    <w:qFormat/>
    <w:locked/>
    <w:rsid w:val="008B26B2"/>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locked/>
    <w:rsid w:val="008B26B2"/>
    <w:rPr>
      <w:sz w:val="18"/>
      <w:szCs w:val="18"/>
    </w:rPr>
  </w:style>
  <w:style w:type="character" w:customStyle="1" w:styleId="Char">
    <w:name w:val="页脚 Char"/>
    <w:basedOn w:val="a0"/>
    <w:link w:val="a3"/>
    <w:uiPriority w:val="99"/>
    <w:semiHidden/>
    <w:qFormat/>
    <w:locked/>
    <w:rsid w:val="008B26B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zu2057367@shz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ixy.shzu.edu.cn/2018/1204/c6727a121999/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325</Words>
  <Characters>1856</Characters>
  <Application>Microsoft Office Word</Application>
  <DocSecurity>0</DocSecurity>
  <Lines>15</Lines>
  <Paragraphs>4</Paragraphs>
  <ScaleCrop>false</ScaleCrop>
  <Company>微软中国</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18</cp:revision>
  <cp:lastPrinted>2018-12-04T04:43:00Z</cp:lastPrinted>
  <dcterms:created xsi:type="dcterms:W3CDTF">2016-12-20T09:10:00Z</dcterms:created>
  <dcterms:modified xsi:type="dcterms:W3CDTF">2018-12-21T04:13:00Z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