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楷体_GB2312" w:eastAsia="楷体_GB2312"/>
          <w:b/>
          <w:color w:val="000000"/>
          <w:sz w:val="32"/>
          <w:szCs w:val="32"/>
        </w:rPr>
      </w:pPr>
      <w:bookmarkStart w:id="0" w:name="_GoBack"/>
      <w:r>
        <w:rPr>
          <w:rFonts w:hint="eastAsia" w:ascii="楷体_GB2312" w:eastAsia="楷体_GB2312"/>
          <w:b/>
          <w:color w:val="000000"/>
          <w:sz w:val="32"/>
          <w:szCs w:val="32"/>
        </w:rPr>
        <w:t>特种医学硕士</w:t>
      </w:r>
      <w:r>
        <w:rPr>
          <w:rFonts w:hint="eastAsia" w:ascii="楷体_GB2312" w:eastAsia="楷体_GB2312"/>
          <w:b/>
          <w:color w:val="000000"/>
          <w:sz w:val="32"/>
          <w:szCs w:val="32"/>
          <w:lang w:eastAsia="zh-CN"/>
        </w:rPr>
        <w:t>学术</w:t>
      </w:r>
      <w:r>
        <w:rPr>
          <w:rFonts w:hint="eastAsia" w:ascii="楷体_GB2312" w:eastAsia="楷体_GB2312"/>
          <w:b/>
          <w:color w:val="000000"/>
          <w:sz w:val="32"/>
          <w:szCs w:val="32"/>
        </w:rPr>
        <w:t>学位培养方案</w:t>
      </w:r>
      <w:bookmarkEnd w:id="0"/>
    </w:p>
    <w:p>
      <w:pPr>
        <w:spacing w:line="360" w:lineRule="auto"/>
        <w:jc w:val="center"/>
        <w:rPr>
          <w:rFonts w:hint="eastAsia" w:ascii="楷体_GB2312" w:eastAsia="楷体_GB2312"/>
          <w:b/>
          <w:sz w:val="24"/>
        </w:rPr>
      </w:pPr>
    </w:p>
    <w:p>
      <w:pPr>
        <w:spacing w:line="360" w:lineRule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b/>
          <w:sz w:val="24"/>
        </w:rPr>
        <w:t>一、培养目标</w:t>
      </w:r>
    </w:p>
    <w:p>
      <w:pPr>
        <w:pStyle w:val="2"/>
        <w:spacing w:line="360" w:lineRule="auto"/>
        <w:ind w:left="0" w:firstLine="480" w:firstLineChars="200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见总则。</w:t>
      </w:r>
    </w:p>
    <w:p>
      <w:pPr>
        <w:pStyle w:val="2"/>
        <w:spacing w:line="360" w:lineRule="auto"/>
        <w:ind w:left="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b/>
          <w:sz w:val="24"/>
        </w:rPr>
        <w:t>二、学科简介</w:t>
      </w:r>
    </w:p>
    <w:p>
      <w:pPr>
        <w:spacing w:line="360" w:lineRule="auto"/>
        <w:ind w:firstLine="480"/>
        <w:rPr>
          <w:rFonts w:hint="eastAsia" w:ascii="楷体_GB2312" w:hAnsi="仿宋" w:eastAsia="楷体_GB2312"/>
          <w:sz w:val="24"/>
          <w:szCs w:val="28"/>
        </w:rPr>
      </w:pPr>
      <w:r>
        <w:rPr>
          <w:rFonts w:hint="eastAsia" w:ascii="楷体_GB2312" w:hAnsi="仿宋" w:eastAsia="楷体_GB2312"/>
          <w:sz w:val="24"/>
          <w:szCs w:val="28"/>
        </w:rPr>
        <w:t>本学科根据特种医学学科发展的新趋势和学科研究新特点，在现有一级学科博士学位授权点的基础上加强一级学科建设，形成放射生物学、核医药学、放射毒理学、放射防护4个特色鲜明的二级学科。</w:t>
      </w:r>
    </w:p>
    <w:p>
      <w:pPr>
        <w:spacing w:line="360" w:lineRule="auto"/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三</w:t>
      </w:r>
      <w:r>
        <w:rPr>
          <w:rFonts w:hint="eastAsia" w:ascii="楷体_GB2312" w:eastAsia="楷体_GB2312"/>
          <w:sz w:val="24"/>
        </w:rPr>
        <w:t>、</w:t>
      </w:r>
      <w:r>
        <w:rPr>
          <w:rFonts w:hint="eastAsia" w:ascii="楷体_GB2312" w:eastAsia="楷体_GB2312"/>
          <w:b/>
          <w:sz w:val="24"/>
        </w:rPr>
        <w:t>研究方向</w:t>
      </w:r>
    </w:p>
    <w:p>
      <w:pPr>
        <w:spacing w:line="360" w:lineRule="auto"/>
        <w:ind w:firstLine="480" w:firstLineChars="200"/>
        <w:rPr>
          <w:rFonts w:hint="eastAsia" w:ascii="楷体_GB2312" w:hAnsi="仿宋" w:eastAsia="楷体_GB2312"/>
          <w:sz w:val="24"/>
        </w:rPr>
      </w:pPr>
      <w:r>
        <w:rPr>
          <w:rFonts w:hint="eastAsia" w:ascii="楷体_GB2312" w:hAnsi="仿宋" w:eastAsia="楷体_GB2312"/>
          <w:sz w:val="24"/>
        </w:rPr>
        <w:t>1.放疗增敏机制及研究</w:t>
      </w:r>
    </w:p>
    <w:p>
      <w:pPr>
        <w:spacing w:line="360" w:lineRule="auto"/>
        <w:ind w:firstLine="480" w:firstLineChars="200"/>
        <w:rPr>
          <w:rFonts w:hint="eastAsia" w:ascii="楷体_GB2312" w:hAnsi="仿宋" w:eastAsia="楷体_GB2312"/>
          <w:sz w:val="24"/>
        </w:rPr>
      </w:pPr>
      <w:r>
        <w:rPr>
          <w:rFonts w:hint="eastAsia" w:ascii="楷体_GB2312" w:hAnsi="仿宋" w:eastAsia="楷体_GB2312"/>
          <w:sz w:val="24"/>
        </w:rPr>
        <w:t>2.放疗联合靶向治疗的分子生物学基础</w:t>
      </w:r>
    </w:p>
    <w:p>
      <w:pPr>
        <w:spacing w:line="360" w:lineRule="auto"/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四</w:t>
      </w:r>
      <w:r>
        <w:rPr>
          <w:rFonts w:hint="eastAsia" w:ascii="楷体_GB2312" w:eastAsia="楷体_GB2312"/>
          <w:sz w:val="24"/>
        </w:rPr>
        <w:t>、</w:t>
      </w:r>
      <w:r>
        <w:rPr>
          <w:rFonts w:hint="eastAsia" w:ascii="楷体_GB2312" w:eastAsia="楷体_GB2312"/>
          <w:b/>
          <w:sz w:val="24"/>
        </w:rPr>
        <w:t>学习年限及时间安排:</w:t>
      </w:r>
    </w:p>
    <w:p>
      <w:pPr>
        <w:tabs>
          <w:tab w:val="left" w:pos="525"/>
        </w:tabs>
        <w:spacing w:line="360" w:lineRule="auto"/>
        <w:ind w:left="-2" w:leftChars="-1" w:firstLine="480" w:firstLineChars="200"/>
        <w:rPr>
          <w:rFonts w:hint="eastAsia" w:ascii="楷体_GB2312" w:hAnsi="宋体-18030" w:eastAsia="楷体_GB2312" w:cs="宋体-18030"/>
          <w:sz w:val="24"/>
        </w:rPr>
      </w:pPr>
      <w:r>
        <w:rPr>
          <w:rFonts w:hint="eastAsia" w:ascii="楷体_GB2312" w:hAnsi="宋体-18030" w:eastAsia="楷体_GB2312" w:cs="宋体-18030"/>
          <w:sz w:val="24"/>
        </w:rPr>
        <w:t>见总则。</w:t>
      </w:r>
    </w:p>
    <w:p>
      <w:pPr>
        <w:autoSpaceDE w:val="0"/>
        <w:autoSpaceDN w:val="0"/>
        <w:adjustRightInd w:val="0"/>
        <w:spacing w:line="360" w:lineRule="auto"/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五、课程学习要求</w:t>
      </w:r>
    </w:p>
    <w:p>
      <w:pPr>
        <w:tabs>
          <w:tab w:val="left" w:pos="1155"/>
        </w:tabs>
        <w:spacing w:line="360" w:lineRule="auto"/>
        <w:ind w:firstLine="420"/>
        <w:rPr>
          <w:rFonts w:hint="eastAsia" w:ascii="楷体_GB2312" w:hAnsi="宋体" w:eastAsia="楷体_GB2312" w:cs="仿宋_GB2312"/>
          <w:sz w:val="24"/>
          <w:lang w:val="zh-CN"/>
        </w:rPr>
      </w:pPr>
      <w:r>
        <w:rPr>
          <w:rFonts w:hint="eastAsia" w:ascii="楷体_GB2312" w:eastAsia="楷体_GB2312"/>
          <w:sz w:val="24"/>
        </w:rPr>
        <w:t>专业必修课程：</w:t>
      </w:r>
      <w:r>
        <w:rPr>
          <w:rFonts w:hint="eastAsia" w:ascii="楷体_GB2312" w:hAnsi="宋体" w:eastAsia="楷体_GB2312" w:cs="仿宋_GB2312"/>
          <w:sz w:val="24"/>
          <w:lang w:val="zh-CN"/>
        </w:rPr>
        <w:t>肿瘤放射治疗学、放射生物学，其余见学校相关规定。</w:t>
      </w:r>
    </w:p>
    <w:p>
      <w:pPr>
        <w:autoSpaceDE w:val="0"/>
        <w:autoSpaceDN w:val="0"/>
        <w:adjustRightInd w:val="0"/>
        <w:spacing w:line="360" w:lineRule="auto"/>
        <w:rPr>
          <w:rFonts w:hint="eastAsia" w:ascii="楷体_GB2312" w:eastAsia="楷体_GB2312" w:cs="仿宋_GB2312"/>
          <w:b/>
          <w:sz w:val="24"/>
          <w:lang w:val="zh-CN"/>
        </w:rPr>
      </w:pPr>
      <w:r>
        <w:rPr>
          <w:rFonts w:hint="eastAsia" w:ascii="楷体_GB2312" w:eastAsia="楷体_GB2312" w:cs="仿宋_GB2312"/>
          <w:b/>
          <w:sz w:val="24"/>
          <w:lang w:val="zh-CN"/>
        </w:rPr>
        <w:t>六、实践培养</w:t>
      </w:r>
    </w:p>
    <w:p>
      <w:pPr>
        <w:autoSpaceDE w:val="0"/>
        <w:autoSpaceDN w:val="0"/>
        <w:adjustRightInd w:val="0"/>
        <w:spacing w:line="360" w:lineRule="auto"/>
        <w:ind w:left="120" w:leftChars="57" w:firstLine="480" w:firstLineChars="200"/>
        <w:rPr>
          <w:rFonts w:hint="eastAsia" w:ascii="楷体_GB2312" w:eastAsia="楷体_GB2312" w:cs="仿宋_GB2312"/>
          <w:sz w:val="24"/>
          <w:lang w:val="zh-CN"/>
        </w:rPr>
      </w:pPr>
      <w:r>
        <w:rPr>
          <w:rFonts w:hint="eastAsia" w:ascii="楷体_GB2312" w:eastAsia="楷体_GB2312" w:cs="仿宋_GB2312"/>
          <w:sz w:val="24"/>
          <w:lang w:val="zh-CN"/>
        </w:rPr>
        <w:t>1. 教学实践要求：</w:t>
      </w:r>
    </w:p>
    <w:p>
      <w:pPr>
        <w:autoSpaceDE w:val="0"/>
        <w:autoSpaceDN w:val="0"/>
        <w:adjustRightInd w:val="0"/>
        <w:spacing w:line="360" w:lineRule="auto"/>
        <w:ind w:left="90" w:leftChars="43" w:firstLine="480" w:firstLineChars="200"/>
        <w:rPr>
          <w:rFonts w:hint="eastAsia" w:ascii="楷体_GB2312" w:eastAsia="楷体_GB2312" w:cs="仿宋_GB2312"/>
          <w:sz w:val="24"/>
          <w:lang w:val="zh-CN"/>
        </w:rPr>
      </w:pPr>
      <w:r>
        <w:rPr>
          <w:rFonts w:hint="eastAsia" w:ascii="楷体_GB2312" w:eastAsia="楷体_GB2312" w:cs="仿宋_GB2312"/>
          <w:sz w:val="24"/>
          <w:lang w:val="zh-CN"/>
        </w:rPr>
        <w:t>要求参加本学科本科生的教学实践，参加本科生理论课和实验课的学习，掌握微生物学和寄生虫学的基本理论和实验教学技能；并承担本科生的实验教学工作，锻炼教学实验能力。</w:t>
      </w:r>
    </w:p>
    <w:p>
      <w:pPr>
        <w:autoSpaceDE w:val="0"/>
        <w:autoSpaceDN w:val="0"/>
        <w:adjustRightInd w:val="0"/>
        <w:spacing w:line="360" w:lineRule="auto"/>
        <w:ind w:left="90" w:leftChars="43" w:firstLine="480" w:firstLineChars="200"/>
        <w:rPr>
          <w:rFonts w:hint="eastAsia" w:ascii="楷体_GB2312" w:eastAsia="楷体_GB2312" w:cs="仿宋_GB2312"/>
          <w:sz w:val="24"/>
          <w:lang w:val="zh-CN"/>
        </w:rPr>
      </w:pPr>
      <w:r>
        <w:rPr>
          <w:rFonts w:hint="eastAsia" w:ascii="楷体_GB2312" w:eastAsia="楷体_GB2312" w:cs="仿宋_GB2312"/>
          <w:sz w:val="24"/>
          <w:lang w:val="zh-CN"/>
        </w:rPr>
        <w:t>2.科研实践要求：</w:t>
      </w:r>
    </w:p>
    <w:p>
      <w:pPr>
        <w:autoSpaceDE w:val="0"/>
        <w:autoSpaceDN w:val="0"/>
        <w:adjustRightInd w:val="0"/>
        <w:spacing w:line="360" w:lineRule="auto"/>
        <w:ind w:left="90" w:leftChars="43" w:firstLine="480" w:firstLineChars="200"/>
        <w:rPr>
          <w:rFonts w:hint="eastAsia" w:ascii="楷体_GB2312" w:eastAsia="楷体_GB2312" w:cs="仿宋_GB2312"/>
          <w:sz w:val="24"/>
          <w:lang w:val="zh-CN"/>
        </w:rPr>
      </w:pPr>
      <w:r>
        <w:rPr>
          <w:rFonts w:hint="eastAsia" w:ascii="楷体_GB2312" w:eastAsia="楷体_GB2312" w:cs="仿宋_GB2312"/>
          <w:sz w:val="24"/>
          <w:lang w:val="zh-CN"/>
        </w:rPr>
        <w:t>硕士研究生在实验室的工作时间应在1.5-2年，结合课题掌握的相关的实验室技能如质粒DNA的提取、细胞培养、PCR、组织切片的制作和染色、ELISA及动物实验，同时能够进行文献查询和科研论文的写作，达到能够从事科研工作的培养目标。</w:t>
      </w:r>
    </w:p>
    <w:p>
      <w:pPr>
        <w:autoSpaceDE w:val="0"/>
        <w:autoSpaceDN w:val="0"/>
        <w:adjustRightInd w:val="0"/>
        <w:spacing w:line="360" w:lineRule="auto"/>
        <w:ind w:left="90" w:leftChars="43" w:firstLine="480" w:firstLineChars="200"/>
        <w:rPr>
          <w:rFonts w:hint="eastAsia" w:ascii="楷体_GB2312" w:eastAsia="楷体_GB2312" w:cs="仿宋_GB2312"/>
          <w:sz w:val="24"/>
          <w:lang w:val="zh-CN"/>
        </w:rPr>
      </w:pPr>
      <w:r>
        <w:rPr>
          <w:rFonts w:hint="eastAsia" w:ascii="楷体_GB2312" w:eastAsia="楷体_GB2312" w:cs="仿宋_GB2312"/>
          <w:sz w:val="24"/>
          <w:lang w:val="zh-CN"/>
        </w:rPr>
        <w:t>3.临床实践要求</w:t>
      </w:r>
    </w:p>
    <w:p>
      <w:pPr>
        <w:autoSpaceDE w:val="0"/>
        <w:autoSpaceDN w:val="0"/>
        <w:adjustRightInd w:val="0"/>
        <w:spacing w:line="360" w:lineRule="auto"/>
        <w:ind w:left="90" w:leftChars="43" w:firstLine="480" w:firstLineChars="200"/>
        <w:rPr>
          <w:rFonts w:hint="eastAsia" w:ascii="楷体_GB2312" w:eastAsia="楷体_GB2312" w:cs="仿宋_GB2312"/>
          <w:sz w:val="24"/>
          <w:lang w:val="zh-CN"/>
        </w:rPr>
      </w:pPr>
      <w:r>
        <w:rPr>
          <w:rFonts w:hint="eastAsia" w:ascii="楷体_GB2312" w:eastAsia="楷体_GB2312" w:cs="仿宋_GB2312"/>
          <w:sz w:val="24"/>
          <w:lang w:val="zh-CN"/>
        </w:rPr>
        <w:t>达到住院医师的最低要求，完成住院病人的床位管理及病历书写，在主治医师指导下，初步学习放疗病人定位、靶区勾画，熟悉整个放射治疗流程。</w:t>
      </w:r>
    </w:p>
    <w:p>
      <w:pPr>
        <w:autoSpaceDE w:val="0"/>
        <w:autoSpaceDN w:val="0"/>
        <w:adjustRightInd w:val="0"/>
        <w:spacing w:line="360" w:lineRule="auto"/>
        <w:rPr>
          <w:rFonts w:hint="eastAsia" w:ascii="楷体_GB2312" w:eastAsia="楷体_GB2312" w:cs="仿宋_GB2312"/>
          <w:b/>
          <w:sz w:val="24"/>
          <w:lang w:val="zh-CN"/>
        </w:rPr>
      </w:pPr>
      <w:r>
        <w:rPr>
          <w:rFonts w:hint="eastAsia" w:ascii="楷体_GB2312" w:eastAsia="楷体_GB2312" w:cs="仿宋_GB2312"/>
          <w:b/>
          <w:sz w:val="24"/>
          <w:lang w:val="zh-CN"/>
        </w:rPr>
        <w:t>七、学位论文要求</w:t>
      </w:r>
    </w:p>
    <w:p>
      <w:pPr>
        <w:tabs>
          <w:tab w:val="left" w:pos="525"/>
        </w:tabs>
        <w:spacing w:line="360" w:lineRule="auto"/>
        <w:ind w:left="-2" w:leftChars="-1" w:firstLine="480" w:firstLineChars="200"/>
        <w:rPr>
          <w:rFonts w:hint="eastAsia" w:ascii="楷体_GB2312" w:hAnsi="宋体" w:eastAsia="楷体_GB2312" w:cs="宋体-18030"/>
          <w:sz w:val="24"/>
        </w:rPr>
      </w:pPr>
      <w:r>
        <w:rPr>
          <w:rFonts w:hint="eastAsia" w:ascii="楷体_GB2312" w:eastAsia="楷体_GB2312" w:cs="仿宋_GB2312"/>
          <w:sz w:val="24"/>
          <w:lang w:val="zh-CN"/>
        </w:rPr>
        <w:t>见总则。</w:t>
      </w:r>
    </w:p>
    <w:p>
      <w:pPr>
        <w:autoSpaceDE w:val="0"/>
        <w:autoSpaceDN w:val="0"/>
        <w:adjustRightInd w:val="0"/>
        <w:spacing w:line="360" w:lineRule="auto"/>
        <w:rPr>
          <w:rFonts w:hint="eastAsia" w:ascii="楷体_GB2312" w:hAnsi="宋体" w:eastAsia="楷体_GB2312"/>
          <w:b/>
          <w:sz w:val="24"/>
        </w:rPr>
      </w:pPr>
      <w:r>
        <w:rPr>
          <w:rFonts w:hint="eastAsia" w:ascii="楷体_GB2312" w:eastAsia="楷体_GB2312" w:cs="仿宋_GB2312"/>
          <w:b/>
          <w:sz w:val="24"/>
          <w:lang w:val="zh-CN"/>
        </w:rPr>
        <w:t>八、</w:t>
      </w:r>
      <w:r>
        <w:rPr>
          <w:rFonts w:hint="eastAsia" w:ascii="楷体_GB2312" w:hAnsi="宋体" w:eastAsia="楷体_GB2312"/>
          <w:b/>
          <w:sz w:val="24"/>
        </w:rPr>
        <w:t>学位评定与授予</w:t>
      </w:r>
    </w:p>
    <w:p>
      <w:pPr>
        <w:tabs>
          <w:tab w:val="left" w:pos="525"/>
        </w:tabs>
        <w:spacing w:line="360" w:lineRule="auto"/>
        <w:ind w:left="-1" w:leftChars="-1" w:hanging="1"/>
        <w:rPr>
          <w:rFonts w:hint="eastAsia" w:ascii="楷体_GB2312" w:hAnsi="宋体" w:eastAsia="楷体_GB2312" w:cs="宋体-18030"/>
          <w:color w:val="000000"/>
          <w:sz w:val="24"/>
        </w:rPr>
      </w:pPr>
      <w:r>
        <w:rPr>
          <w:rFonts w:hint="eastAsia" w:ascii="楷体_GB2312" w:hAnsi="宋体" w:eastAsia="楷体_GB2312"/>
          <w:sz w:val="24"/>
        </w:rPr>
        <w:tab/>
      </w:r>
      <w:r>
        <w:rPr>
          <w:rFonts w:hint="eastAsia" w:ascii="楷体_GB2312" w:hAnsi="宋体" w:eastAsia="楷体_GB2312"/>
          <w:sz w:val="24"/>
        </w:rPr>
        <w:t xml:space="preserve">   </w:t>
      </w:r>
      <w:r>
        <w:rPr>
          <w:rFonts w:hint="eastAsia" w:ascii="楷体_GB2312" w:hAnsi="宋体" w:eastAsia="楷体_GB2312" w:cs="宋体-18030"/>
          <w:color w:val="000000"/>
          <w:sz w:val="24"/>
        </w:rPr>
        <w:t xml:space="preserve"> 见总则。</w:t>
      </w:r>
    </w:p>
    <w:p>
      <w:pPr>
        <w:autoSpaceDE w:val="0"/>
        <w:autoSpaceDN w:val="0"/>
        <w:adjustRightInd w:val="0"/>
        <w:spacing w:line="360" w:lineRule="auto"/>
        <w:rPr>
          <w:rFonts w:hint="eastAsia" w:ascii="楷体_GB2312" w:eastAsia="楷体_GB2312" w:cs="仿宋_GB2312"/>
          <w:b/>
          <w:sz w:val="24"/>
          <w:lang w:val="zh-CN"/>
        </w:rPr>
      </w:pPr>
      <w:r>
        <w:rPr>
          <w:rFonts w:hint="eastAsia" w:ascii="楷体_GB2312" w:eastAsia="楷体_GB2312" w:cs="仿宋_GB2312"/>
          <w:b/>
          <w:sz w:val="24"/>
          <w:lang w:val="zh-CN"/>
        </w:rPr>
        <w:t>九、培养方式与要求</w:t>
      </w:r>
    </w:p>
    <w:p>
      <w:pPr>
        <w:tabs>
          <w:tab w:val="left" w:pos="525"/>
        </w:tabs>
        <w:spacing w:line="360" w:lineRule="auto"/>
        <w:ind w:left="-2" w:leftChars="-1" w:firstLine="480" w:firstLineChars="200"/>
        <w:rPr>
          <w:rFonts w:hint="eastAsia" w:ascii="楷体_GB2312" w:hAnsi="宋体" w:eastAsia="楷体_GB2312" w:cs="宋体-18030"/>
          <w:sz w:val="24"/>
        </w:rPr>
      </w:pPr>
      <w:r>
        <w:rPr>
          <w:rFonts w:hint="eastAsia" w:ascii="楷体_GB2312" w:eastAsia="楷体_GB2312" w:cs="仿宋_GB2312"/>
          <w:sz w:val="24"/>
          <w:lang w:val="zh-CN"/>
        </w:rPr>
        <w:tab/>
      </w:r>
      <w:r>
        <w:rPr>
          <w:rFonts w:hint="eastAsia" w:ascii="楷体_GB2312" w:hAnsi="宋体" w:eastAsia="楷体_GB2312" w:cs="宋体-18030"/>
          <w:sz w:val="24"/>
        </w:rPr>
        <w:t>见总则。</w:t>
      </w:r>
    </w:p>
    <w:p>
      <w:pPr>
        <w:autoSpaceDE w:val="0"/>
        <w:autoSpaceDN w:val="0"/>
        <w:adjustRightInd w:val="0"/>
        <w:spacing w:line="360" w:lineRule="auto"/>
        <w:rPr>
          <w:rFonts w:hint="eastAsia" w:ascii="楷体_GB2312" w:eastAsia="楷体_GB2312" w:cs="仿宋_GB2312"/>
          <w:sz w:val="24"/>
          <w:lang w:val="zh-CN"/>
        </w:rPr>
      </w:pPr>
      <w:r>
        <w:rPr>
          <w:rFonts w:hint="eastAsia" w:ascii="楷体_GB2312" w:eastAsia="楷体_GB2312" w:cs="仿宋_GB2312"/>
          <w:b/>
          <w:sz w:val="24"/>
          <w:lang w:val="zh-CN"/>
        </w:rPr>
        <w:t>十、主要参考书刊</w:t>
      </w:r>
    </w:p>
    <w:p>
      <w:pPr>
        <w:numPr>
          <w:ilvl w:val="0"/>
          <w:numId w:val="1"/>
        </w:numPr>
        <w:spacing w:line="360" w:lineRule="auto"/>
        <w:rPr>
          <w:rFonts w:hint="eastAsia" w:ascii="楷体_GB2312" w:eastAsia="楷体_GB2312" w:cs="Courier New"/>
          <w:sz w:val="24"/>
        </w:rPr>
      </w:pPr>
      <w:r>
        <w:rPr>
          <w:rFonts w:hint="eastAsia" w:ascii="楷体_GB2312" w:eastAsia="楷体_GB2312" w:cs="Courier New"/>
          <w:sz w:val="24"/>
        </w:rPr>
        <w:t>《肿瘤放射治疗学》  （第四版），殷蔚伯主编，中国协和医科大学出版社</w:t>
      </w:r>
    </w:p>
    <w:p>
      <w:pPr>
        <w:pStyle w:val="4"/>
        <w:numPr>
          <w:ilvl w:val="0"/>
          <w:numId w:val="1"/>
        </w:numPr>
        <w:spacing w:line="360" w:lineRule="auto"/>
        <w:ind w:leftChars="0"/>
        <w:rPr>
          <w:rFonts w:hint="eastAsia" w:ascii="楷体_GB2312" w:eastAsia="楷体_GB2312"/>
          <w:color w:val="000000"/>
          <w:sz w:val="24"/>
          <w:szCs w:val="24"/>
        </w:rPr>
      </w:pPr>
      <w:r>
        <w:rPr>
          <w:rFonts w:hint="eastAsia" w:ascii="楷体_GB2312" w:eastAsia="楷体_GB2312"/>
          <w:color w:val="000000"/>
          <w:sz w:val="24"/>
          <w:szCs w:val="24"/>
        </w:rPr>
        <w:t>《现代肿瘤放射治疗学》，蒋国梁主编，</w:t>
      </w:r>
      <w:r>
        <w:rPr>
          <w:rFonts w:hint="eastAsia" w:ascii="楷体_GB2312" w:eastAsia="楷体_GB2312"/>
          <w:color w:val="000000"/>
          <w:sz w:val="24"/>
          <w:szCs w:val="28"/>
        </w:rPr>
        <w:t>上海科学技术出版社</w:t>
      </w:r>
    </w:p>
    <w:p>
      <w:pPr>
        <w:pStyle w:val="3"/>
        <w:numPr>
          <w:ilvl w:val="0"/>
          <w:numId w:val="1"/>
        </w:numPr>
        <w:spacing w:line="360" w:lineRule="auto"/>
        <w:rPr>
          <w:rFonts w:hint="eastAsia" w:ascii="楷体_GB2312" w:hAnsi="Times New Roman" w:eastAsia="楷体_GB2312"/>
          <w:sz w:val="24"/>
          <w:szCs w:val="24"/>
        </w:rPr>
      </w:pPr>
      <w:r>
        <w:rPr>
          <w:rFonts w:hint="eastAsia" w:ascii="楷体_GB2312" w:hAnsi="Times New Roman" w:eastAsia="楷体_GB2312"/>
          <w:sz w:val="24"/>
          <w:szCs w:val="24"/>
        </w:rPr>
        <w:t>《临床肿瘤内科手册》，孙燕、石远凯主编，人民卫生出版社出版</w:t>
      </w:r>
    </w:p>
    <w:p>
      <w:r>
        <w:rPr>
          <w:rFonts w:hint="eastAsia" w:ascii="楷体_GB2312" w:eastAsia="楷体_GB2312"/>
          <w:sz w:val="24"/>
          <w:szCs w:val="24"/>
        </w:rPr>
        <w:t>《现代肿瘤学》（第3版），汤钊猷主编，上海医科大学出版社出版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164F9"/>
    <w:multiLevelType w:val="multilevel"/>
    <w:tmpl w:val="7CB164F9"/>
    <w:lvl w:ilvl="0" w:tentative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C21EC"/>
    <w:rsid w:val="41FC21E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left="-279"/>
    </w:pPr>
    <w:rPr>
      <w:sz w:val="28"/>
    </w:rPr>
  </w:style>
  <w:style w:type="paragraph" w:styleId="3">
    <w:name w:val="Plain Text"/>
    <w:basedOn w:val="1"/>
    <w:uiPriority w:val="0"/>
    <w:rPr>
      <w:rFonts w:ascii="宋体" w:hAnsi="Courier New"/>
      <w:szCs w:val="21"/>
    </w:rPr>
  </w:style>
  <w:style w:type="paragraph" w:styleId="4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2018-11-13T02:25:00Z</dcterms:created>
  <dc:creator>Administrator</dc:creator>
  <cp:lastModifiedBy>Administrator</cp:lastModifiedBy>
  <dcterms:modified xsi:type="dcterms:W3CDTF">2018-11-13T02:26:00Z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